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32C2A" Type="http://schemas.openxmlformats.org/officeDocument/2006/relationships/officeDocument" Target="/word/document.xml" /><Relationship Id="coreRE532C2A" Type="http://schemas.openxmlformats.org/package/2006/relationships/metadata/core-properties" Target="/docProps/core.xml" /><Relationship Id="customRE532C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Lisovač gumárenské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gumárenské technologii, materiálech a strojních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lisování a vulkanizaci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lisování a vulkanizace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28.9.2026 14:48:04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https://www.nsp.cz/jednotka-prace/lisovac-gumarenske-vyroby#zdravotni-zpusobilost).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otevřených odpovědí na zadané otázky (připravené autorizovanou osobou). Při ověřování kritérií hodnocení způsobem ověření "Písemné a ústní ověření" se požaduje stručné slovní doplnění písemně zpracované otázky, zadání, ve smyslu doplnění informací nebo doplnění vysvětlení.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gumárenské technologii, materiálech a strojních zařízeních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kriterium hodnocení e), na základě výkresů či schémat uchazeč vysvětlí funkci stroje, případně výrobní linky a výrobního procesu, uchazeč nakreslí, popíše a zdůvodní funkci jednotlivých částí vulkanizační křivky.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28.9.2026 14:48:04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 s. r. o., Otrokovice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SumiRiko AVS Czech s. r. o., Újezd u Valašských Klobouk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Lisovač gumárenské výroby, 28.9.2026 14:48:04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