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E4B81C" Type="http://schemas.openxmlformats.org/officeDocument/2006/relationships/officeDocument" Target="/word/document.xml" /><Relationship Id="coreR2AE4B81C" Type="http://schemas.openxmlformats.org/package/2006/relationships/metadata/core-properties" Target="/docProps/core.xml" /><Relationship Id="customR2AE4B8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Produkční kulturních projektů (kód: 82-027-R)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oblasti produkce kulturních projektů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v oblasti produkce kulturních projektů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kulturního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kulturního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Personální zajištění kulturního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Marketing kulturního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Fundraising kulturního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11.04.2022</w:t>
      </w:r>
    </w:p>
    <w:p>
      <w:pPr>
        <w:pStyle w:val="P21"/>
        <w:framePr w:w="7654" w:h="331" w:hRule="exact" w:wrap="none" w:vAnchor="page" w:hAnchor="margin" w:x="28" w:y="15940"/>
        <w:rPr>
          <w:rStyle w:val="C16"/>
          <w:rtl w:val="0"/>
        </w:rPr>
      </w:pPr>
      <w:r>
        <w:rPr>
          <w:rStyle w:val="C16"/>
          <w:rtl w:val="0"/>
        </w:rPr>
        <w:t>Produkční kulturních projektů, 30.9.2026 5:02:41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oblasti produkce kulturních projektů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specifika produkce v oblasti kultury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základní postupy produkce kulturního projektu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strukturu současné kulturní scény v České republice včetně základní typologie kulturních institucí, operátorů (pořadatelů kulturních projektů) a médií v oblasti kultury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právních předpisech v oblasti produkce kulturních projektů</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831" w:hRule="exact" w:wrap="none" w:vAnchor="page" w:hAnchor="margin" w:x="45" w:y="6475"/>
        <w:rPr>
          <w:rStyle w:val="C3"/>
          <w:rtl w:val="0"/>
        </w:rPr>
      </w:pPr>
    </w:p>
    <w:p>
      <w:pPr>
        <w:pStyle w:val="P13"/>
        <w:framePr w:w="6658" w:h="704" w:hRule="exact" w:wrap="none" w:vAnchor="page" w:hAnchor="margin" w:x="71" w:y="6531"/>
        <w:rPr>
          <w:rStyle w:val="C11"/>
          <w:rtl w:val="0"/>
        </w:rPr>
      </w:pPr>
      <w:r>
        <w:rPr>
          <w:rStyle w:val="C11"/>
          <w:rtl w:val="0"/>
        </w:rPr>
        <w:t>a) Orientovat se v oblasti autorského práva (definice autorského díla, licenční smlouvy, práva na užití děl a způsoby užití, komunikace s kolektivními správci práv)</w:t>
      </w:r>
    </w:p>
    <w:p>
      <w:pPr>
        <w:pStyle w:val="P28"/>
        <w:framePr w:w="3921" w:h="831" w:hRule="exact" w:wrap="none" w:vAnchor="page" w:hAnchor="margin" w:x="6800" w:y="6475"/>
        <w:rPr>
          <w:rStyle w:val="C3"/>
          <w:rtl w:val="0"/>
        </w:rPr>
      </w:pPr>
    </w:p>
    <w:p>
      <w:pPr>
        <w:pStyle w:val="P29"/>
        <w:framePr w:w="3839" w:h="704" w:hRule="exact" w:wrap="none" w:vAnchor="page" w:hAnchor="margin" w:x="6856" w:y="6531"/>
        <w:rPr>
          <w:rStyle w:val="C21"/>
          <w:rtl w:val="0"/>
        </w:rPr>
      </w:pPr>
      <w:r>
        <w:rPr>
          <w:rStyle w:val="C21"/>
          <w:rtl w:val="0"/>
        </w:rPr>
        <w:t>Ústní ověření</w:t>
      </w:r>
    </w:p>
    <w:p>
      <w:pPr>
        <w:pStyle w:val="P16"/>
        <w:framePr w:w="6710" w:h="1055" w:hRule="exact" w:wrap="none" w:vAnchor="page" w:hAnchor="margin" w:x="45" w:y="7306"/>
        <w:rPr>
          <w:rStyle w:val="C3"/>
          <w:rtl w:val="0"/>
        </w:rPr>
      </w:pPr>
    </w:p>
    <w:p>
      <w:pPr>
        <w:pStyle w:val="P17"/>
        <w:framePr w:w="6658" w:h="928" w:hRule="exact" w:wrap="none" w:vAnchor="page" w:hAnchor="margin" w:x="71" w:y="7362"/>
        <w:rPr>
          <w:rStyle w:val="C13"/>
          <w:rtl w:val="0"/>
        </w:rPr>
      </w:pPr>
      <w:r>
        <w:rPr>
          <w:rStyle w:val="C13"/>
          <w:rtl w:val="0"/>
        </w:rPr>
        <w:t>b) Orientovat se v pracovněprávní problematice (uzavírání smluv, vznik a zánik pracovního poměru, pracovní doba, ochrana osobních údajů) a v problematice bezpečnosti a ochrany zdraví při práci a požární ochrany v oblasti kulturních projektů</w:t>
      </w:r>
    </w:p>
    <w:p>
      <w:pPr>
        <w:pStyle w:val="P30"/>
        <w:framePr w:w="3921" w:h="1055" w:hRule="exact" w:wrap="none" w:vAnchor="page" w:hAnchor="margin" w:x="6800" w:y="7306"/>
        <w:rPr>
          <w:rStyle w:val="C3"/>
          <w:rtl w:val="0"/>
        </w:rPr>
      </w:pPr>
    </w:p>
    <w:p>
      <w:pPr>
        <w:pStyle w:val="P31"/>
        <w:framePr w:w="3839" w:h="928" w:hRule="exact" w:wrap="none" w:vAnchor="page" w:hAnchor="margin" w:x="6856" w:y="7362"/>
        <w:rPr>
          <w:rStyle w:val="C22"/>
          <w:rtl w:val="0"/>
        </w:rPr>
      </w:pPr>
      <w:r>
        <w:rPr>
          <w:rStyle w:val="C22"/>
          <w:rtl w:val="0"/>
        </w:rPr>
        <w:t>Ústní ověření</w:t>
      </w:r>
    </w:p>
    <w:p>
      <w:pPr>
        <w:pStyle w:val="P12"/>
        <w:framePr w:w="6710" w:h="607" w:hRule="exact" w:wrap="none" w:vAnchor="page" w:hAnchor="margin" w:x="45" w:y="8362"/>
        <w:rPr>
          <w:rStyle w:val="C3"/>
          <w:rtl w:val="0"/>
        </w:rPr>
      </w:pPr>
    </w:p>
    <w:p>
      <w:pPr>
        <w:pStyle w:val="P13"/>
        <w:framePr w:w="6658" w:h="480" w:hRule="exact" w:wrap="none" w:vAnchor="page" w:hAnchor="margin" w:x="71" w:y="8418"/>
        <w:rPr>
          <w:rStyle w:val="C11"/>
          <w:rtl w:val="0"/>
        </w:rPr>
      </w:pPr>
      <w:r>
        <w:rPr>
          <w:rStyle w:val="C11"/>
          <w:rtl w:val="0"/>
        </w:rPr>
        <w:t>c) Orientovat se v občanském zákoníku (účastníci občanskoprávních vztahů - fyzické a právnické osoby, závazková část zákoníku)</w:t>
      </w:r>
    </w:p>
    <w:p>
      <w:pPr>
        <w:pStyle w:val="P28"/>
        <w:framePr w:w="3921" w:h="607" w:hRule="exact" w:wrap="none" w:vAnchor="page" w:hAnchor="margin" w:x="6800" w:y="8362"/>
        <w:rPr>
          <w:rStyle w:val="C3"/>
          <w:rtl w:val="0"/>
        </w:rPr>
      </w:pPr>
    </w:p>
    <w:p>
      <w:pPr>
        <w:pStyle w:val="P29"/>
        <w:framePr w:w="3839" w:h="480" w:hRule="exact" w:wrap="none" w:vAnchor="page" w:hAnchor="margin" w:x="6856" w:y="8418"/>
        <w:rPr>
          <w:rStyle w:val="C21"/>
          <w:rtl w:val="0"/>
        </w:rPr>
      </w:pPr>
      <w:r>
        <w:rPr>
          <w:rStyle w:val="C21"/>
          <w:rtl w:val="0"/>
        </w:rPr>
        <w:t>Ústní ověření</w:t>
      </w:r>
    </w:p>
    <w:p>
      <w:pPr>
        <w:pStyle w:val="P16"/>
        <w:framePr w:w="6710" w:h="607" w:hRule="exact" w:wrap="none" w:vAnchor="page" w:hAnchor="margin" w:x="45" w:y="8969"/>
        <w:rPr>
          <w:rStyle w:val="C3"/>
          <w:rtl w:val="0"/>
        </w:rPr>
      </w:pPr>
    </w:p>
    <w:p>
      <w:pPr>
        <w:pStyle w:val="P17"/>
        <w:framePr w:w="6658" w:h="480" w:hRule="exact" w:wrap="none" w:vAnchor="page" w:hAnchor="margin" w:x="71" w:y="9025"/>
        <w:rPr>
          <w:rStyle w:val="C13"/>
          <w:rtl w:val="0"/>
        </w:rPr>
      </w:pPr>
      <w:r>
        <w:rPr>
          <w:rStyle w:val="C13"/>
          <w:rtl w:val="0"/>
        </w:rPr>
        <w:t>d) Orientovat se v oblasti daně z přidané hodnoty a daně z příjmu fyzických osob</w:t>
      </w:r>
    </w:p>
    <w:p>
      <w:pPr>
        <w:pStyle w:val="P30"/>
        <w:framePr w:w="3921" w:h="607" w:hRule="exact" w:wrap="none" w:vAnchor="page" w:hAnchor="margin" w:x="6800" w:y="8969"/>
        <w:rPr>
          <w:rStyle w:val="C3"/>
          <w:rtl w:val="0"/>
        </w:rPr>
      </w:pPr>
    </w:p>
    <w:p>
      <w:pPr>
        <w:pStyle w:val="P31"/>
        <w:framePr w:w="3839" w:h="480" w:hRule="exact" w:wrap="none" w:vAnchor="page" w:hAnchor="margin" w:x="6856" w:y="9025"/>
        <w:rPr>
          <w:rStyle w:val="C22"/>
          <w:rtl w:val="0"/>
        </w:rPr>
      </w:pPr>
      <w:r>
        <w:rPr>
          <w:rStyle w:val="C22"/>
          <w:rtl w:val="0"/>
        </w:rPr>
        <w:t>Ústní ověření</w:t>
      </w:r>
    </w:p>
    <w:p>
      <w:pPr>
        <w:pStyle w:val="P12"/>
        <w:framePr w:w="6710" w:h="607" w:hRule="exact" w:wrap="none" w:vAnchor="page" w:hAnchor="margin" w:x="45" w:y="9575"/>
        <w:rPr>
          <w:rStyle w:val="C3"/>
          <w:rtl w:val="0"/>
        </w:rPr>
      </w:pPr>
    </w:p>
    <w:p>
      <w:pPr>
        <w:pStyle w:val="P13"/>
        <w:framePr w:w="6658" w:h="480" w:hRule="exact" w:wrap="none" w:vAnchor="page" w:hAnchor="margin" w:x="71" w:y="9631"/>
        <w:rPr>
          <w:rStyle w:val="C11"/>
          <w:rtl w:val="0"/>
        </w:rPr>
      </w:pPr>
      <w:r>
        <w:rPr>
          <w:rStyle w:val="C11"/>
          <w:rtl w:val="0"/>
        </w:rPr>
        <w:t>e) Orientovat se v možnostech pojištění odpovědnosti v rámci produkční činnosti</w:t>
      </w:r>
    </w:p>
    <w:p>
      <w:pPr>
        <w:pStyle w:val="P28"/>
        <w:framePr w:w="3921" w:h="607" w:hRule="exact" w:wrap="none" w:vAnchor="page" w:hAnchor="margin" w:x="6800" w:y="9575"/>
        <w:rPr>
          <w:rStyle w:val="C3"/>
          <w:rtl w:val="0"/>
        </w:rPr>
      </w:pPr>
    </w:p>
    <w:p>
      <w:pPr>
        <w:pStyle w:val="P29"/>
        <w:framePr w:w="3839" w:h="480" w:hRule="exact" w:wrap="none" w:vAnchor="page" w:hAnchor="margin" w:x="6856" w:y="9631"/>
        <w:rPr>
          <w:rStyle w:val="C21"/>
          <w:rtl w:val="0"/>
        </w:rPr>
      </w:pPr>
      <w:r>
        <w:rPr>
          <w:rStyle w:val="C21"/>
          <w:rtl w:val="0"/>
        </w:rPr>
        <w:t>Ústní ověření</w:t>
      </w:r>
    </w:p>
    <w:p>
      <w:pPr>
        <w:pStyle w:val="P32"/>
        <w:framePr w:w="10710" w:h="248" w:hRule="exact" w:wrap="none" w:vAnchor="page" w:hAnchor="margin" w:x="28" w:y="10296"/>
        <w:rPr>
          <w:rStyle w:val="C23"/>
          <w:rtl w:val="0"/>
        </w:rPr>
      </w:pPr>
      <w:r>
        <w:rPr>
          <w:rStyle w:val="C23"/>
          <w:rtl w:val="0"/>
        </w:rPr>
        <w:t>Je třeba splnit všechna kritéria.</w:t>
      </w:r>
    </w:p>
    <w:p>
      <w:pPr>
        <w:pStyle w:val="P23"/>
        <w:framePr w:w="10710" w:h="340" w:hRule="exact" w:wrap="none" w:vAnchor="page" w:hAnchor="margin" w:x="28" w:y="10731"/>
        <w:rPr>
          <w:rStyle w:val="C18"/>
          <w:rtl w:val="0"/>
        </w:rPr>
      </w:pPr>
      <w:r>
        <w:rPr>
          <w:rStyle w:val="C18"/>
          <w:rtl w:val="0"/>
        </w:rPr>
        <w:t>Řízení a organizace kulturního projektu</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607" w:hRule="exact" w:wrap="none" w:vAnchor="page" w:hAnchor="margin" w:x="45" w:y="11547"/>
        <w:rPr>
          <w:rStyle w:val="C3"/>
          <w:rtl w:val="0"/>
        </w:rPr>
      </w:pPr>
    </w:p>
    <w:p>
      <w:pPr>
        <w:pStyle w:val="P13"/>
        <w:framePr w:w="6658" w:h="480" w:hRule="exact" w:wrap="none" w:vAnchor="page" w:hAnchor="margin" w:x="71" w:y="11603"/>
        <w:rPr>
          <w:rStyle w:val="C11"/>
          <w:rtl w:val="0"/>
        </w:rPr>
      </w:pPr>
      <w:r>
        <w:rPr>
          <w:rStyle w:val="C11"/>
          <w:rtl w:val="0"/>
        </w:rPr>
        <w:t>a) Navrhnout strategické cíle a klíčové body projektu a plán způsobu jejich dosažení</w:t>
      </w:r>
    </w:p>
    <w:p>
      <w:pPr>
        <w:pStyle w:val="P28"/>
        <w:framePr w:w="3921" w:h="607" w:hRule="exact" w:wrap="none" w:vAnchor="page" w:hAnchor="margin" w:x="6800" w:y="11547"/>
        <w:rPr>
          <w:rStyle w:val="C3"/>
          <w:rtl w:val="0"/>
        </w:rPr>
      </w:pPr>
    </w:p>
    <w:p>
      <w:pPr>
        <w:pStyle w:val="P29"/>
        <w:framePr w:w="3839" w:h="480" w:hRule="exact" w:wrap="none" w:vAnchor="page" w:hAnchor="margin" w:x="6856" w:y="11603"/>
        <w:rPr>
          <w:rStyle w:val="C21"/>
          <w:rtl w:val="0"/>
        </w:rPr>
      </w:pPr>
      <w:r>
        <w:rPr>
          <w:rStyle w:val="C21"/>
          <w:rtl w:val="0"/>
        </w:rPr>
        <w:t>Praktické předvedení</w:t>
      </w:r>
    </w:p>
    <w:p>
      <w:pPr>
        <w:pStyle w:val="P16"/>
        <w:framePr w:w="6710" w:h="376" w:hRule="exact" w:wrap="none" w:vAnchor="page" w:hAnchor="margin" w:x="45" w:y="12154"/>
        <w:rPr>
          <w:rStyle w:val="C3"/>
          <w:rtl w:val="0"/>
        </w:rPr>
      </w:pPr>
    </w:p>
    <w:p>
      <w:pPr>
        <w:pStyle w:val="P17"/>
        <w:framePr w:w="6658" w:h="249" w:hRule="exact" w:wrap="none" w:vAnchor="page" w:hAnchor="margin" w:x="71" w:y="12210"/>
        <w:rPr>
          <w:rStyle w:val="C13"/>
          <w:rtl w:val="0"/>
        </w:rPr>
      </w:pPr>
      <w:r>
        <w:rPr>
          <w:rStyle w:val="C13"/>
          <w:rtl w:val="0"/>
        </w:rPr>
        <w:t>b) Připravit časový harmonogram plnění projektu dle zadání</w:t>
      </w:r>
    </w:p>
    <w:p>
      <w:pPr>
        <w:pStyle w:val="P30"/>
        <w:framePr w:w="3921" w:h="376" w:hRule="exact" w:wrap="none" w:vAnchor="page" w:hAnchor="margin" w:x="6800" w:y="12154"/>
        <w:rPr>
          <w:rStyle w:val="C3"/>
          <w:rtl w:val="0"/>
        </w:rPr>
      </w:pPr>
    </w:p>
    <w:p>
      <w:pPr>
        <w:pStyle w:val="P31"/>
        <w:framePr w:w="3839" w:h="249" w:hRule="exact" w:wrap="none" w:vAnchor="page" w:hAnchor="margin" w:x="6856" w:y="12210"/>
        <w:rPr>
          <w:rStyle w:val="C22"/>
          <w:rtl w:val="0"/>
        </w:rPr>
      </w:pPr>
      <w:r>
        <w:rPr>
          <w:rStyle w:val="C22"/>
          <w:rtl w:val="0"/>
        </w:rPr>
        <w:t>Praktické předvedení</w:t>
      </w:r>
    </w:p>
    <w:p>
      <w:pPr>
        <w:pStyle w:val="P12"/>
        <w:framePr w:w="6710" w:h="831" w:hRule="exact" w:wrap="none" w:vAnchor="page" w:hAnchor="margin" w:x="45" w:y="12530"/>
        <w:rPr>
          <w:rStyle w:val="C3"/>
          <w:rtl w:val="0"/>
        </w:rPr>
      </w:pPr>
    </w:p>
    <w:p>
      <w:pPr>
        <w:pStyle w:val="P13"/>
        <w:framePr w:w="6658" w:h="704" w:hRule="exact" w:wrap="none" w:vAnchor="page" w:hAnchor="margin" w:x="71" w:y="12586"/>
        <w:rPr>
          <w:rStyle w:val="C11"/>
          <w:rtl w:val="0"/>
        </w:rPr>
      </w:pPr>
      <w:r>
        <w:rPr>
          <w:rStyle w:val="C11"/>
          <w:rtl w:val="0"/>
        </w:rPr>
        <w:t>c) Navrhnout předpoklady pro organizační a technické zajištění projektu včetně technického vybavení a spotřebního materiálu potřebného ke splnění kreativních a technických požadavků projektu</w:t>
      </w:r>
    </w:p>
    <w:p>
      <w:pPr>
        <w:pStyle w:val="P28"/>
        <w:framePr w:w="3921" w:h="831" w:hRule="exact" w:wrap="none" w:vAnchor="page" w:hAnchor="margin" w:x="6800" w:y="12530"/>
        <w:rPr>
          <w:rStyle w:val="C3"/>
          <w:rtl w:val="0"/>
        </w:rPr>
      </w:pPr>
    </w:p>
    <w:p>
      <w:pPr>
        <w:pStyle w:val="P29"/>
        <w:framePr w:w="3839" w:h="704" w:hRule="exact" w:wrap="none" w:vAnchor="page" w:hAnchor="margin" w:x="6856" w:y="12586"/>
        <w:rPr>
          <w:rStyle w:val="C21"/>
          <w:rtl w:val="0"/>
        </w:rPr>
      </w:pPr>
      <w:r>
        <w:rPr>
          <w:rStyle w:val="C21"/>
          <w:rtl w:val="0"/>
        </w:rPr>
        <w:t>Praktické předvedení</w:t>
      </w:r>
    </w:p>
    <w:p>
      <w:pPr>
        <w:pStyle w:val="P16"/>
        <w:framePr w:w="6710" w:h="831" w:hRule="exact" w:wrap="none" w:vAnchor="page" w:hAnchor="margin" w:x="45" w:y="13361"/>
        <w:rPr>
          <w:rStyle w:val="C3"/>
          <w:rtl w:val="0"/>
        </w:rPr>
      </w:pPr>
    </w:p>
    <w:p>
      <w:pPr>
        <w:pStyle w:val="P17"/>
        <w:framePr w:w="6658" w:h="704" w:hRule="exact" w:wrap="none" w:vAnchor="page" w:hAnchor="margin" w:x="71" w:y="13417"/>
        <w:rPr>
          <w:rStyle w:val="C13"/>
          <w:rtl w:val="0"/>
        </w:rPr>
      </w:pPr>
      <w:r>
        <w:rPr>
          <w:rStyle w:val="C13"/>
          <w:rtl w:val="0"/>
        </w:rPr>
        <w:t>d) Připravit analýzu rizik projektu. Identifikovat rizika, pravděpodobnost vzniku, způsob monitorování a kontroly. Navrhnout způsob jejich eliminace a řešení v případě, že nastanou</w:t>
      </w:r>
    </w:p>
    <w:p>
      <w:pPr>
        <w:pStyle w:val="P30"/>
        <w:framePr w:w="3921" w:h="831" w:hRule="exact" w:wrap="none" w:vAnchor="page" w:hAnchor="margin" w:x="6800" w:y="13361"/>
        <w:rPr>
          <w:rStyle w:val="C3"/>
          <w:rtl w:val="0"/>
        </w:rPr>
      </w:pPr>
    </w:p>
    <w:p>
      <w:pPr>
        <w:pStyle w:val="P31"/>
        <w:framePr w:w="3839" w:h="704" w:hRule="exact" w:wrap="none" w:vAnchor="page" w:hAnchor="margin" w:x="6856" w:y="13417"/>
        <w:rPr>
          <w:rStyle w:val="C22"/>
          <w:rtl w:val="0"/>
        </w:rPr>
      </w:pPr>
      <w:r>
        <w:rPr>
          <w:rStyle w:val="C22"/>
          <w:rtl w:val="0"/>
        </w:rPr>
        <w:t>Praktické předvedení</w:t>
      </w:r>
    </w:p>
    <w:p>
      <w:pPr>
        <w:pStyle w:val="P32"/>
        <w:framePr w:w="10710" w:h="248" w:hRule="exact" w:wrap="none" w:vAnchor="page" w:hAnchor="margin" w:x="28" w:y="14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kulturních projektů, 30.9.2026 5:02:41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Finanční řízení kulturního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návrh rozpočtu projektu dle zadání, a to včetně plánu cash-flow a návrhu kontrolních mechanismů plnění rozpočtu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Přimout a zkontrolovat fakturu od dodavatele, vystavit fakturu a pokladní doklad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pravidla vnitřního oběhu účetních dokladů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Personální zajištění kulturního projektu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Navrhnout složení týmu produkce projektu, včetně rozdělení kompetencí, odpovědnosti a úkolů jeho členů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pro příslušné profese a členy týmu smluvní podmínky (vybrat příslušný typ vhodné smlouvy)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způsob efektivní komunikace mezi jednotlivými členy týmu a kontroly plnění zadaných úkolů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Marketing kulturního projektu</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Připravit návrh marketingové strategie projektu včetně definice klíčových cílových skupin, vhodných propagačních nástrojů, rozpočtu a harmonogramu</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Praktické předvedení</w:t>
      </w:r>
    </w:p>
    <w:p>
      <w:pPr>
        <w:pStyle w:val="P16"/>
        <w:framePr w:w="6710" w:h="831" w:hRule="exact" w:wrap="none" w:vAnchor="page" w:hAnchor="margin" w:x="45" w:y="9716"/>
        <w:rPr>
          <w:rStyle w:val="C3"/>
          <w:rtl w:val="0"/>
        </w:rPr>
      </w:pPr>
    </w:p>
    <w:p>
      <w:pPr>
        <w:pStyle w:val="P17"/>
        <w:framePr w:w="6658" w:h="704" w:hRule="exact" w:wrap="none" w:vAnchor="page" w:hAnchor="margin" w:x="71" w:y="9772"/>
        <w:rPr>
          <w:rStyle w:val="C13"/>
          <w:rtl w:val="0"/>
        </w:rPr>
      </w:pPr>
      <w:r>
        <w:rPr>
          <w:rStyle w:val="C13"/>
          <w:rtl w:val="0"/>
        </w:rPr>
        <w:t>b) Vysvětlit a předvést práci na internetu (zformulovat e-mail se žádostí pro média, využití sociálních sítí v marketingu, sestavení modelové databáze osob)</w:t>
      </w:r>
    </w:p>
    <w:p>
      <w:pPr>
        <w:pStyle w:val="P30"/>
        <w:framePr w:w="3921" w:h="831" w:hRule="exact" w:wrap="none" w:vAnchor="page" w:hAnchor="margin" w:x="6800" w:y="9716"/>
        <w:rPr>
          <w:rStyle w:val="C3"/>
          <w:rtl w:val="0"/>
        </w:rPr>
      </w:pPr>
    </w:p>
    <w:p>
      <w:pPr>
        <w:pStyle w:val="P31"/>
        <w:framePr w:w="3839" w:h="704" w:hRule="exact" w:wrap="none" w:vAnchor="page" w:hAnchor="margin" w:x="6856" w:y="9772"/>
        <w:rPr>
          <w:rStyle w:val="C22"/>
          <w:rtl w:val="0"/>
        </w:rPr>
      </w:pPr>
      <w:r>
        <w:rPr>
          <w:rStyle w:val="C22"/>
          <w:rtl w:val="0"/>
        </w:rPr>
        <w:t>Praktické předvedení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c) Vytvořit jednoduchý návrh textu pro marketing projektu formou propagačního letáku či tiskové zprávy, včetně grafické úpravy a práce s podklady dodanými v digitální podobě (obrázek, logo)</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7"/>
        <w:rPr>
          <w:rStyle w:val="C18"/>
          <w:rtl w:val="0"/>
        </w:rPr>
      </w:pPr>
      <w:r>
        <w:rPr>
          <w:rStyle w:val="C18"/>
          <w:rtl w:val="0"/>
        </w:rPr>
        <w:t>Fundraising kulturního projektu</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1055" w:hRule="exact" w:wrap="none" w:vAnchor="page" w:hAnchor="margin" w:x="45" w:y="12743"/>
        <w:rPr>
          <w:rStyle w:val="C3"/>
          <w:rtl w:val="0"/>
        </w:rPr>
      </w:pPr>
    </w:p>
    <w:p>
      <w:pPr>
        <w:pStyle w:val="P13"/>
        <w:framePr w:w="6658" w:h="928" w:hRule="exact" w:wrap="none" w:vAnchor="page" w:hAnchor="margin" w:x="71" w:y="12799"/>
        <w:rPr>
          <w:rStyle w:val="C11"/>
          <w:rtl w:val="0"/>
        </w:rPr>
      </w:pPr>
      <w:r>
        <w:rPr>
          <w:rStyle w:val="C11"/>
          <w:rtl w:val="0"/>
        </w:rPr>
        <w:t>a) Navrhnout základní podobu fundraisingové strategie projektu včetně seznamu základních využitelných zdrojů a nástrojů fundraisingu finačních i materiálních zdrojů z veřejné a korporátní sféry i od individuálních dárců (vícezdrojové financování)</w:t>
      </w:r>
    </w:p>
    <w:p>
      <w:pPr>
        <w:pStyle w:val="P28"/>
        <w:framePr w:w="3921" w:h="1055" w:hRule="exact" w:wrap="none" w:vAnchor="page" w:hAnchor="margin" w:x="6800" w:y="12743"/>
        <w:rPr>
          <w:rStyle w:val="C3"/>
          <w:rtl w:val="0"/>
        </w:rPr>
      </w:pPr>
    </w:p>
    <w:p>
      <w:pPr>
        <w:pStyle w:val="P29"/>
        <w:framePr w:w="3839" w:h="928" w:hRule="exact" w:wrap="none" w:vAnchor="page" w:hAnchor="margin" w:x="6856" w:y="12799"/>
        <w:rPr>
          <w:rStyle w:val="C21"/>
          <w:rtl w:val="0"/>
        </w:rPr>
      </w:pPr>
      <w:r>
        <w:rPr>
          <w:rStyle w:val="C21"/>
          <w:rtl w:val="0"/>
        </w:rPr>
        <w:t>Praktické předvedení</w:t>
      </w:r>
    </w:p>
    <w:p>
      <w:pPr>
        <w:pStyle w:val="P16"/>
        <w:framePr w:w="6710" w:h="376" w:hRule="exact" w:wrap="none" w:vAnchor="page" w:hAnchor="margin" w:x="45" w:y="13798"/>
        <w:rPr>
          <w:rStyle w:val="C3"/>
          <w:rtl w:val="0"/>
        </w:rPr>
      </w:pPr>
    </w:p>
    <w:p>
      <w:pPr>
        <w:pStyle w:val="P17"/>
        <w:framePr w:w="6658" w:h="249" w:hRule="exact" w:wrap="none" w:vAnchor="page" w:hAnchor="margin" w:x="71" w:y="13854"/>
        <w:rPr>
          <w:rStyle w:val="C13"/>
          <w:rtl w:val="0"/>
        </w:rPr>
      </w:pPr>
      <w:r>
        <w:rPr>
          <w:rStyle w:val="C13"/>
          <w:rtl w:val="0"/>
        </w:rPr>
        <w:t>b) Připravit zpracování modelové žádosti o grant a vyúčtování dle zadání</w:t>
      </w:r>
    </w:p>
    <w:p>
      <w:pPr>
        <w:pStyle w:val="P30"/>
        <w:framePr w:w="3921" w:h="376" w:hRule="exact" w:wrap="none" w:vAnchor="page" w:hAnchor="margin" w:x="6800" w:y="13798"/>
        <w:rPr>
          <w:rStyle w:val="C3"/>
          <w:rtl w:val="0"/>
        </w:rPr>
      </w:pPr>
    </w:p>
    <w:p>
      <w:pPr>
        <w:pStyle w:val="P31"/>
        <w:framePr w:w="3839" w:h="249" w:hRule="exact" w:wrap="none" w:vAnchor="page" w:hAnchor="margin" w:x="6856" w:y="13854"/>
        <w:rPr>
          <w:rStyle w:val="C22"/>
          <w:rtl w:val="0"/>
        </w:rPr>
      </w:pPr>
      <w:r>
        <w:rPr>
          <w:rStyle w:val="C22"/>
          <w:rtl w:val="0"/>
        </w:rPr>
        <w:t>Praktické předvedení</w:t>
      </w:r>
    </w:p>
    <w:p>
      <w:pPr>
        <w:pStyle w:val="P12"/>
        <w:framePr w:w="6710" w:h="607" w:hRule="exact" w:wrap="none" w:vAnchor="page" w:hAnchor="margin" w:x="45" w:y="14174"/>
        <w:rPr>
          <w:rStyle w:val="C3"/>
          <w:rtl w:val="0"/>
        </w:rPr>
      </w:pPr>
    </w:p>
    <w:p>
      <w:pPr>
        <w:pStyle w:val="P13"/>
        <w:framePr w:w="6658" w:h="480" w:hRule="exact" w:wrap="none" w:vAnchor="page" w:hAnchor="margin" w:x="71" w:y="14230"/>
        <w:rPr>
          <w:rStyle w:val="C11"/>
          <w:rtl w:val="0"/>
        </w:rPr>
      </w:pPr>
      <w:r>
        <w:rPr>
          <w:rStyle w:val="C11"/>
          <w:rtl w:val="0"/>
        </w:rPr>
        <w:t>c) Připravit eletronickou prezentaci projektu určenou potenciálním partnerům a sponzorům</w:t>
      </w:r>
    </w:p>
    <w:p>
      <w:pPr>
        <w:pStyle w:val="P28"/>
        <w:framePr w:w="3921" w:h="607" w:hRule="exact" w:wrap="none" w:vAnchor="page" w:hAnchor="margin" w:x="6800" w:y="14174"/>
        <w:rPr>
          <w:rStyle w:val="C3"/>
          <w:rtl w:val="0"/>
        </w:rPr>
      </w:pPr>
    </w:p>
    <w:p>
      <w:pPr>
        <w:pStyle w:val="P29"/>
        <w:framePr w:w="3839" w:h="480" w:hRule="exact" w:wrap="none" w:vAnchor="page" w:hAnchor="margin" w:x="6856" w:y="14230"/>
        <w:rPr>
          <w:rStyle w:val="C21"/>
          <w:rtl w:val="0"/>
        </w:rPr>
      </w:pPr>
      <w:r>
        <w:rPr>
          <w:rStyle w:val="C21"/>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kulturních projektů, 30.9.2026 5:02:41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doklad o znalosti anglického jazyka odpovídající nejméně deskriptoru B2 dle Společného evropského referenčního rámce pro jazyky; dále profesní životopis, který slouží autorizované osobě pouze pro přehled profesní praxe a není určen k hodnocení uchazeče.</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zkoušejícímu modelový kulturní projekt pro ověření kritérií dle tohoto standardu, a to v termínu nejméně 15 pracovních dnů před termínem zkoušky.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Kulturním projektem pro účely této zkoušky se rozumí pořádání jednorázové kulturní akce, festivalu nebo produkce kulturního zařízení.</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nejpozději 5 pracovních dní před termínem zkoušky zpracovaný projekt podle kompetencí:</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Celkové vedení a organizace kulturního projektu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Finanční vedení kulturního projektu, kritérium a)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vedení týmu produkce kulturního projektu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základního marketingu kulturního projektu, kritérium a) a c)</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Fundraising kulturního projektu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projekt bude doručen na adresu autorizované osoby 1x v tištěné podobě a zároveň elektronicky.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probíhá prezentace zpracovaného projektu formou obhajoby.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vypracuje otázky pro ústní ověření </w:t>
      </w:r>
      <w:r>
        <w:rPr>
          <w:rFonts w:ascii="Arial" w:cs="Arial" w:hAnsi="Arial" w:eastAsia="Arial"/>
          <w:b w:val="0"/>
          <w:i w:val="0"/>
          <w:caps w:val="0"/>
          <w:strike w:val="0"/>
          <w:noProof w:val="0"/>
          <w:vanish w:val="0"/>
          <w:color w:val="auto"/>
          <w:sz w:val="20"/>
          <w:u w:val="single"/>
          <w:shd w:val="clear" w:color="auto" w:fill="auto"/>
          <w:vertAlign w:val="baseline"/>
          <w:lang/>
        </w:rPr>
        <w:t>formou vylosovaných otázek</w:t>
      </w:r>
      <w:r>
        <w:rPr>
          <w:rFonts w:ascii="Arial" w:cs="Arial" w:hAnsi="Arial" w:eastAsia="Arial"/>
          <w:b w:val="0"/>
          <w:i w:val="0"/>
          <w:caps w:val="0"/>
          <w:strike w:val="0"/>
          <w:noProof w:val="0"/>
          <w:vanish w:val="0"/>
          <w:color w:val="auto"/>
          <w:sz w:val="20"/>
          <w:u w:val="none"/>
          <w:shd w:val="clear" w:color="auto" w:fill="auto"/>
          <w:vertAlign w:val="baseline"/>
          <w:lang/>
        </w:rPr>
        <w:t xml:space="preserve"> pro kompetenci Orientace v právních předpisech v oblasti produkce kulturních projektů, a to pro kritérium b) minimálně 20 otázek a pro kritéria c) a d) minimálně po 10 otázkách.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 si ke každému kritériu vylosuje 3 otázky.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která kritéria je třeba u zkoušky splnit).</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 k ověřování a hodnocenÍ kompetence Marketing kulturního projektu, kritérium c):</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vytvoří jednoduchý návrh pomocí běžně dostupných prostředků na počítači (Mac nebo PC s Microsoftem). </w:t>
      </w:r>
    </w:p>
    <w:p>
      <w:pPr>
        <w:pStyle w:val="P33"/>
        <w:framePr w:w="10766" w:h="1837" w:hRule="exact" w:wrap="none" w:vAnchor="page" w:hAnchor="margin" w:x="0" w:y="13693"/>
        <w:rPr>
          <w:rStyle w:val="C3"/>
          <w:rtl w:val="0"/>
        </w:rPr>
      </w:pPr>
    </w:p>
    <w:p>
      <w:pPr>
        <w:pStyle w:val="P35"/>
        <w:framePr w:w="10710" w:h="340" w:hRule="exact" w:wrap="none" w:vAnchor="page" w:hAnchor="margin" w:x="28" w:y="13693"/>
        <w:rPr>
          <w:rStyle w:val="C25"/>
          <w:rtl w:val="0"/>
        </w:rPr>
      </w:pPr>
      <w:r>
        <w:rPr>
          <w:rStyle w:val="C25"/>
          <w:rtl w:val="0"/>
        </w:rPr>
        <w:t>Výsledné hodnocení</w:t>
      </w:r>
    </w:p>
    <w:p>
      <w:pPr>
        <w:keepNext w:val="0"/>
        <w:keepLines w:val="0"/>
        <w:framePr w:w="10766" w:h="1497" w:hRule="exact" w:wrap="none" w:vAnchor="page" w:hAnchor="margin" w:x="0" w:y="14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Produkční kulturních projektů, 30.9.2026 5:02:41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39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ekonomickou oblast nebo na obecný management a alespoň 5 let odborné praxe v oblasti produkování kulturních projektů, včetně zkušenosti v řídící pozici, z toho minimálně jeden rok v období posledních dvou let před podáním žádosti o udělení autorizace.</w:t>
      </w:r>
    </w:p>
    <w:p>
      <w:pPr>
        <w:keepNext w:val="0"/>
        <w:keepLines w:val="1"/>
        <w:framePr w:w="10766" w:h="684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ekonomickou oblast nebo produkci v oblasti kultury a alespoň 5 let odborné praxe v oblasti produkování kulturních projektů, včetně zkušenosti v řídící pozici, z toho minimálně jeden rok v období posledních dvou let před podáním žádosti o udělení autorizace.</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263" w:hRule="exact" w:wrap="none" w:vAnchor="page" w:hAnchor="margin" w:x="0" w:y="11381"/>
        <w:rPr>
          <w:rStyle w:val="C3"/>
          <w:rtl w:val="0"/>
        </w:rPr>
      </w:pPr>
    </w:p>
    <w:p>
      <w:pPr>
        <w:pStyle w:val="P35"/>
        <w:framePr w:w="10710" w:h="340" w:hRule="exact" w:wrap="none" w:vAnchor="page" w:hAnchor="margin" w:x="28" w:y="11381"/>
        <w:rPr>
          <w:rStyle w:val="C25"/>
          <w:rtl w:val="0"/>
        </w:rPr>
      </w:pPr>
      <w:r>
        <w:rPr>
          <w:rStyle w:val="C25"/>
          <w:rtl w:val="0"/>
        </w:rPr>
        <w:t>Nezbytné materiální a technické předpoklady pro provedení zkoušky</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textovým a tabulkovým procesorem, připojení k internetu</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1"/>
        <w:framePr w:w="10766" w:h="2923" w:hRule="exact" w:wrap="none" w:vAnchor="page" w:hAnchor="margin" w:x="0" w:y="1172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dokumenty (faktury, účetní doklady)</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Produkční kulturních projektů, 30.9.2026 5:02:41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Produkční kulturních projektů, 30.9.2026 5:02:41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kulturu,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umění – Divadelní ústav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Divadlo pod lampou, o. p.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Divadelní fakulta Akademie múzických umění v Praze (AMU), Katedra produkce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Filmová a televizní fakulta Akademie múzických umění v Praze (FAMU), Katedra produkce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divadlo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Produkční kulturních projektů, 30.9.2026 5:02:41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F7BA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308F3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3DC4E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