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9A343" Type="http://schemas.openxmlformats.org/officeDocument/2006/relationships/officeDocument" Target="/word/document.xml" /><Relationship Id="coreR3AD9A343" Type="http://schemas.openxmlformats.org/package/2006/relationships/metadata/core-properties" Target="/docProps/core.xml" /><Relationship Id="customR3AD9A3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Produkční kulturních projektů, 11.7.2026 8:05:10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 kulturní scény v České republice včetně základní typologie kulturních institucí, operátorů (pořadatelů kulturních projektů)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1055" w:hRule="exact" w:wrap="none" w:vAnchor="page" w:hAnchor="margin" w:x="45" w:y="7306"/>
        <w:rPr>
          <w:rStyle w:val="C3"/>
          <w:rtl w:val="0"/>
        </w:rPr>
      </w:pPr>
    </w:p>
    <w:p>
      <w:pPr>
        <w:pStyle w:val="P17"/>
        <w:framePr w:w="6658" w:h="928"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bezpečnosti a ochrany zdraví při práci a požární ochrany v oblasti kulturních projektů</w:t>
      </w:r>
    </w:p>
    <w:p>
      <w:pPr>
        <w:pStyle w:val="P30"/>
        <w:framePr w:w="3921" w:h="1055" w:hRule="exact" w:wrap="none" w:vAnchor="page" w:hAnchor="margin" w:x="6800" w:y="7306"/>
        <w:rPr>
          <w:rStyle w:val="C3"/>
          <w:rtl w:val="0"/>
        </w:rPr>
      </w:pPr>
    </w:p>
    <w:p>
      <w:pPr>
        <w:pStyle w:val="P31"/>
        <w:framePr w:w="3839" w:h="928" w:hRule="exact" w:wrap="none" w:vAnchor="page" w:hAnchor="margin" w:x="6856" w:y="7362"/>
        <w:rPr>
          <w:rStyle w:val="C22"/>
          <w:rtl w:val="0"/>
        </w:rPr>
      </w:pPr>
      <w:r>
        <w:rPr>
          <w:rStyle w:val="C22"/>
          <w:rtl w:val="0"/>
        </w:rPr>
        <w:t>Ústní ověření</w:t>
      </w:r>
    </w:p>
    <w:p>
      <w:pPr>
        <w:pStyle w:val="P12"/>
        <w:framePr w:w="6710" w:h="607" w:hRule="exact" w:wrap="none" w:vAnchor="page" w:hAnchor="margin" w:x="45" w:y="8362"/>
        <w:rPr>
          <w:rStyle w:val="C3"/>
          <w:rtl w:val="0"/>
        </w:rPr>
      </w:pPr>
    </w:p>
    <w:p>
      <w:pPr>
        <w:pStyle w:val="P13"/>
        <w:framePr w:w="6658" w:h="480" w:hRule="exact" w:wrap="none" w:vAnchor="page" w:hAnchor="margin" w:x="71" w:y="8418"/>
        <w:rPr>
          <w:rStyle w:val="C11"/>
          <w:rtl w:val="0"/>
        </w:rPr>
      </w:pPr>
      <w:r>
        <w:rPr>
          <w:rStyle w:val="C11"/>
          <w:rtl w:val="0"/>
        </w:rPr>
        <w:t>c) Orientovat se v občanském zákoníku (účastníci občanskoprávních vztahů - fyzické a právnické osoby, závazková část zákoníku)</w:t>
      </w:r>
    </w:p>
    <w:p>
      <w:pPr>
        <w:pStyle w:val="P28"/>
        <w:framePr w:w="3921" w:h="607" w:hRule="exact" w:wrap="none" w:vAnchor="page" w:hAnchor="margin" w:x="6800" w:y="8362"/>
        <w:rPr>
          <w:rStyle w:val="C3"/>
          <w:rtl w:val="0"/>
        </w:rPr>
      </w:pPr>
    </w:p>
    <w:p>
      <w:pPr>
        <w:pStyle w:val="P29"/>
        <w:framePr w:w="3839" w:h="480" w:hRule="exact" w:wrap="none" w:vAnchor="page" w:hAnchor="margin" w:x="6856" w:y="8418"/>
        <w:rPr>
          <w:rStyle w:val="C21"/>
          <w:rtl w:val="0"/>
        </w:rPr>
      </w:pPr>
      <w:r>
        <w:rPr>
          <w:rStyle w:val="C21"/>
          <w:rtl w:val="0"/>
        </w:rPr>
        <w:t>Ústní ověření</w:t>
      </w:r>
    </w:p>
    <w:p>
      <w:pPr>
        <w:pStyle w:val="P16"/>
        <w:framePr w:w="6710" w:h="607" w:hRule="exact" w:wrap="none" w:vAnchor="page" w:hAnchor="margin" w:x="45" w:y="8969"/>
        <w:rPr>
          <w:rStyle w:val="C3"/>
          <w:rtl w:val="0"/>
        </w:rPr>
      </w:pPr>
    </w:p>
    <w:p>
      <w:pPr>
        <w:pStyle w:val="P17"/>
        <w:framePr w:w="6658" w:h="480" w:hRule="exact" w:wrap="none" w:vAnchor="page" w:hAnchor="margin" w:x="71" w:y="9025"/>
        <w:rPr>
          <w:rStyle w:val="C13"/>
          <w:rtl w:val="0"/>
        </w:rPr>
      </w:pPr>
      <w:r>
        <w:rPr>
          <w:rStyle w:val="C13"/>
          <w:rtl w:val="0"/>
        </w:rPr>
        <w:t>d) Orientovat se v oblasti daně z přidané hodnoty a daně z příjmu fyzických osob</w:t>
      </w:r>
    </w:p>
    <w:p>
      <w:pPr>
        <w:pStyle w:val="P30"/>
        <w:framePr w:w="3921" w:h="607" w:hRule="exact" w:wrap="none" w:vAnchor="page" w:hAnchor="margin" w:x="6800" w:y="8969"/>
        <w:rPr>
          <w:rStyle w:val="C3"/>
          <w:rtl w:val="0"/>
        </w:rPr>
      </w:pPr>
    </w:p>
    <w:p>
      <w:pPr>
        <w:pStyle w:val="P31"/>
        <w:framePr w:w="3839" w:h="480" w:hRule="exact" w:wrap="none" w:vAnchor="page" w:hAnchor="margin" w:x="6856" w:y="9025"/>
        <w:rPr>
          <w:rStyle w:val="C22"/>
          <w:rtl w:val="0"/>
        </w:rPr>
      </w:pPr>
      <w:r>
        <w:rPr>
          <w:rStyle w:val="C22"/>
          <w:rtl w:val="0"/>
        </w:rPr>
        <w:t>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Orientovat se v možnostech pojištění odpovědnosti v rámci produkční činnosti</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Řízení a organizace kulturního projektu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Navrhnout strategické cíle a klíčové body projektu a plán způsobu jejich dosažení</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Připravit časový harmonogram plnění projektu dle zadání</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831" w:hRule="exact" w:wrap="none" w:vAnchor="page" w:hAnchor="margin" w:x="45" w:y="12530"/>
        <w:rPr>
          <w:rStyle w:val="C3"/>
          <w:rtl w:val="0"/>
        </w:rPr>
      </w:pPr>
    </w:p>
    <w:p>
      <w:pPr>
        <w:pStyle w:val="P13"/>
        <w:framePr w:w="6658" w:h="704" w:hRule="exact" w:wrap="none" w:vAnchor="page" w:hAnchor="margin" w:x="71" w:y="12586"/>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w:t>
      </w:r>
    </w:p>
    <w:p>
      <w:pPr>
        <w:pStyle w:val="P28"/>
        <w:framePr w:w="3921" w:h="831" w:hRule="exact" w:wrap="none" w:vAnchor="page" w:hAnchor="margin" w:x="6800" w:y="12530"/>
        <w:rPr>
          <w:rStyle w:val="C3"/>
          <w:rtl w:val="0"/>
        </w:rPr>
      </w:pPr>
    </w:p>
    <w:p>
      <w:pPr>
        <w:pStyle w:val="P29"/>
        <w:framePr w:w="3839" w:h="704" w:hRule="exact" w:wrap="none" w:vAnchor="page" w:hAnchor="margin" w:x="6856" w:y="12586"/>
        <w:rPr>
          <w:rStyle w:val="C21"/>
          <w:rtl w:val="0"/>
        </w:rPr>
      </w:pPr>
      <w:r>
        <w:rPr>
          <w:rStyle w:val="C21"/>
          <w:rtl w:val="0"/>
        </w:rPr>
        <w:t>Praktické předvedení</w:t>
      </w:r>
    </w:p>
    <w:p>
      <w:pPr>
        <w:pStyle w:val="P16"/>
        <w:framePr w:w="6710" w:h="831" w:hRule="exact" w:wrap="none" w:vAnchor="page" w:hAnchor="margin" w:x="45" w:y="13361"/>
        <w:rPr>
          <w:rStyle w:val="C3"/>
          <w:rtl w:val="0"/>
        </w:rPr>
      </w:pPr>
    </w:p>
    <w:p>
      <w:pPr>
        <w:pStyle w:val="P17"/>
        <w:framePr w:w="6658" w:h="704" w:hRule="exact" w:wrap="none" w:vAnchor="page" w:hAnchor="margin" w:x="71" w:y="13417"/>
        <w:rPr>
          <w:rStyle w:val="C13"/>
          <w:rtl w:val="0"/>
        </w:rPr>
      </w:pPr>
      <w:r>
        <w:rPr>
          <w:rStyle w:val="C13"/>
          <w:rtl w:val="0"/>
        </w:rPr>
        <w:t>d) Připravit analýzu rizik projektu. Identifikovat rizika, pravděpodobnost vzniku, způsob monitorování a kontroly. Navrhnout způsob jejich eliminace a řešení v případě, že nastanou</w:t>
      </w:r>
    </w:p>
    <w:p>
      <w:pPr>
        <w:pStyle w:val="P30"/>
        <w:framePr w:w="3921" w:h="831" w:hRule="exact" w:wrap="none" w:vAnchor="page" w:hAnchor="margin" w:x="6800" w:y="13361"/>
        <w:rPr>
          <w:rStyle w:val="C3"/>
          <w:rtl w:val="0"/>
        </w:rPr>
      </w:pPr>
    </w:p>
    <w:p>
      <w:pPr>
        <w:pStyle w:val="P31"/>
        <w:framePr w:w="3839" w:h="704" w:hRule="exact" w:wrap="none" w:vAnchor="page" w:hAnchor="margin" w:x="6856" w:y="13417"/>
        <w:rPr>
          <w:rStyle w:val="C22"/>
          <w:rtl w:val="0"/>
        </w:rPr>
      </w:pPr>
      <w:r>
        <w:rPr>
          <w:rStyle w:val="C22"/>
          <w:rtl w:val="0"/>
        </w:rPr>
        <w:t>Praktické předvedení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11.7.2026 8:05:10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a to včetně plánu cash-flow a návrhu kontrolních mechanismů plnění rozpočtu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Přimout a zkontrolovat fakturu od dodavatele, vystavit fakturu a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pravidla vnitřního oběhu účetních dokladů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Personální zajištění kulturního projektu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Navrhnout složení týmu produkce projektu, včetně rozdělení kompetencí, odpovědnosti a úkolů jeho členů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pro příslušné profese a členy týmu smluvní podmínky (vybrat příslušný typ vhodné smlouvy)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Marketing kulturního projektu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Připravit návrh marketingové strategie projektu včetně definice klíčových cílových skupin, vhodných propagačních nástrojů, rozpočtu a harmonogramu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831" w:hRule="exact" w:wrap="none" w:vAnchor="page" w:hAnchor="margin" w:x="45" w:y="9716"/>
        <w:rPr>
          <w:rStyle w:val="C3"/>
          <w:rtl w:val="0"/>
        </w:rPr>
      </w:pPr>
    </w:p>
    <w:p>
      <w:pPr>
        <w:pStyle w:val="P17"/>
        <w:framePr w:w="6658" w:h="704" w:hRule="exact" w:wrap="none" w:vAnchor="page" w:hAnchor="margin" w:x="71" w:y="9772"/>
        <w:rPr>
          <w:rStyle w:val="C13"/>
          <w:rtl w:val="0"/>
        </w:rPr>
      </w:pPr>
      <w:r>
        <w:rPr>
          <w:rStyle w:val="C13"/>
          <w:rtl w:val="0"/>
        </w:rPr>
        <w:t>b) Vysvětlit a předvést práci na internetu (zformulovat e-mail se žádostí pro média, využití sociálních sítí v marketingu, sestavení modelové databáze osob)</w:t>
      </w:r>
    </w:p>
    <w:p>
      <w:pPr>
        <w:pStyle w:val="P30"/>
        <w:framePr w:w="3921" w:h="831" w:hRule="exact" w:wrap="none" w:vAnchor="page" w:hAnchor="margin" w:x="6800" w:y="9716"/>
        <w:rPr>
          <w:rStyle w:val="C3"/>
          <w:rtl w:val="0"/>
        </w:rPr>
      </w:pPr>
    </w:p>
    <w:p>
      <w:pPr>
        <w:pStyle w:val="P31"/>
        <w:framePr w:w="3839" w:h="704" w:hRule="exact" w:wrap="none" w:vAnchor="page" w:hAnchor="margin" w:x="6856" w:y="9772"/>
        <w:rPr>
          <w:rStyle w:val="C22"/>
          <w:rtl w:val="0"/>
        </w:rPr>
      </w:pPr>
      <w:r>
        <w:rPr>
          <w:rStyle w:val="C22"/>
          <w:rtl w:val="0"/>
        </w:rPr>
        <w:t>Praktické předvedení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c) Vytvořit jednoduchý návrh textu pro marketing projektu formou propagačního letáku či tiskové zprávy, včetně grafické úpravy a práce s podklady dodanými v digitální podobě (obrázek, logo)</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Fundraising kulturního projektu</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1055" w:hRule="exact" w:wrap="none" w:vAnchor="page" w:hAnchor="margin" w:x="45" w:y="12743"/>
        <w:rPr>
          <w:rStyle w:val="C3"/>
          <w:rtl w:val="0"/>
        </w:rPr>
      </w:pPr>
    </w:p>
    <w:p>
      <w:pPr>
        <w:pStyle w:val="P13"/>
        <w:framePr w:w="6658" w:h="928" w:hRule="exact" w:wrap="none" w:vAnchor="page" w:hAnchor="margin" w:x="71" w:y="12799"/>
        <w:rPr>
          <w:rStyle w:val="C11"/>
          <w:rtl w:val="0"/>
        </w:rPr>
      </w:pPr>
      <w:r>
        <w:rPr>
          <w:rStyle w:val="C11"/>
          <w:rtl w:val="0"/>
        </w:rPr>
        <w:t>a) Navrhnout základní podobu fundraisingové strategie projektu včetně seznamu základních využitelných zdrojů a nástrojů fundraisingu finačních i materiálních zdrojů z veřejné a korporátní sféry i od individuálních dárců (vícezdrojové financování)</w:t>
      </w:r>
    </w:p>
    <w:p>
      <w:pPr>
        <w:pStyle w:val="P28"/>
        <w:framePr w:w="3921" w:h="1055" w:hRule="exact" w:wrap="none" w:vAnchor="page" w:hAnchor="margin" w:x="6800" w:y="12743"/>
        <w:rPr>
          <w:rStyle w:val="C3"/>
          <w:rtl w:val="0"/>
        </w:rPr>
      </w:pPr>
    </w:p>
    <w:p>
      <w:pPr>
        <w:pStyle w:val="P29"/>
        <w:framePr w:w="3839" w:h="928" w:hRule="exact" w:wrap="none" w:vAnchor="page" w:hAnchor="margin" w:x="6856" w:y="12799"/>
        <w:rPr>
          <w:rStyle w:val="C21"/>
          <w:rtl w:val="0"/>
        </w:rPr>
      </w:pPr>
      <w:r>
        <w:rPr>
          <w:rStyle w:val="C21"/>
          <w:rtl w:val="0"/>
        </w:rPr>
        <w:t>Praktické předvedení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Připravit zpracování modelové žádosti o grant a vyúčtování dle zadání</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Připravit eletronickou prezentaci projektu určenou potenciálním partnerům a sponzorům</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11.7.2026 8:05:10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 dále profesní životopis, který slouží autorizované osobě pouze pro přehled profesní praxe a není určen k hodnocení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zkoušejícímu modelový kulturní projekt pro ověření kritérií dle tohoto standardu, a to v termínu nejméně 15 pracovních dnů před termínem zkoušky.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Kulturním projektem pro účely této zkoušky se rozumí pořádání jednorázové kulturní akce, festivalu nebo produkce kulturního zařízení.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Celkové vedení a organizace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vedení kulturního projektu, kritérium a)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vedení týmu produkce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základního marketingu kulturního projektu, kritérium a) a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probíhá prezentace zpracovaného projektu formou obhajoby.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w:t>
      </w:r>
      <w:r>
        <w:rPr>
          <w:rFonts w:ascii="Arial" w:cs="Arial" w:hAnsi="Arial" w:eastAsia="Arial"/>
          <w:b w:val="0"/>
          <w:i w:val="0"/>
          <w:caps w:val="0"/>
          <w:strike w:val="0"/>
          <w:noProof w:val="0"/>
          <w:vanish w:val="0"/>
          <w:color w:val="auto"/>
          <w:sz w:val="20"/>
          <w:u w:val="single"/>
          <w:shd w:val="clear" w:color="auto" w:fill="auto"/>
          <w:vertAlign w:val="baseline"/>
          <w:lang/>
        </w:rPr>
        <w:t>formou vylosovaných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pro kompetenci Orientace v právních předpisech v oblasti produkce kulturních projektů, a to pro kritérium b) minimálně 20 otázek a pro kritéria c) a d) minimálně po 10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 si ke každému kritériu vylosuje 3 otázky.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k ověřování a hodnocenÍ kompetence Marketing kulturního projektu, kritérium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vytvoří jednoduchý návrh pomocí běžně dostupných prostředků na počítači (Mac nebo PC s Microsoftem). </w:t>
      </w:r>
    </w:p>
    <w:p>
      <w:pPr>
        <w:pStyle w:val="P33"/>
        <w:framePr w:w="10766" w:h="1837" w:hRule="exact" w:wrap="none" w:vAnchor="page" w:hAnchor="margin" w:x="0" w:y="13693"/>
        <w:rPr>
          <w:rStyle w:val="C3"/>
          <w:rtl w:val="0"/>
        </w:rPr>
      </w:pPr>
    </w:p>
    <w:p>
      <w:pPr>
        <w:pStyle w:val="P35"/>
        <w:framePr w:w="10710" w:h="340" w:hRule="exact" w:wrap="none" w:vAnchor="page" w:hAnchor="margin" w:x="28" w:y="13693"/>
        <w:rPr>
          <w:rStyle w:val="C25"/>
          <w:rtl w:val="0"/>
        </w:rPr>
      </w:pPr>
      <w:r>
        <w:rPr>
          <w:rStyle w:val="C25"/>
          <w:rtl w:val="0"/>
        </w:rPr>
        <w:t>Výsledné hodnocení</w:t>
      </w:r>
    </w:p>
    <w:p>
      <w:pPr>
        <w:keepNext w:val="0"/>
        <w:keepLines w:val="0"/>
        <w:framePr w:w="10766" w:h="1497" w:hRule="exact" w:wrap="none" w:vAnchor="page" w:hAnchor="margin" w:x="0" w:y="14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Produkční kulturních projektů, 11.7.2026 8:05:10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3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 včetně zkušenosti v řídící pozici, z toho minimálně jeden rok v období posledních dvou let před podáním žádosti o udělení autorizace.</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 včetně zkušenosti v řídící pozici, z toho minimálně jeden rok v období posledních dvou let před podáním žádosti o udělení autorizace.</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63"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Nezbytné materiální a technické předpoklady pro provedení zkoušky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 připojení k internetu</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923" w:hRule="exact" w:wrap="none" w:vAnchor="page" w:hAnchor="margin" w:x="0" w:y="1172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dokumenty (faktury, účetní doklady)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Produkční kulturních projektů, 11.7.2026 8:05:10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Produkční kulturních projektů, 11.7.2026 8:05:10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kulturu,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Filmová a televizní fakulta Akademie múzických umění v Praze (FAMU),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kulturních projektů, 11.7.2026 8:05:10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000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8066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18E4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