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B6F15" Type="http://schemas.openxmlformats.org/officeDocument/2006/relationships/officeDocument" Target="/word/document.xml" /><Relationship Id="coreR64DB6F15" Type="http://schemas.openxmlformats.org/package/2006/relationships/metadata/core-properties" Target="/docProps/core.xml" /><Relationship Id="customR64DB6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4:45:15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https://www.nsp.cz/jednotka-prace/produkcni-kulturnich-proj).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pokyny ke zpracování kulturního projektu pro ověření kritérií podle tohoto standardu, a to v termínu nejméně 15 pracovních dnů před termínem zahájení zkoušky.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Kulturním projektem pro účely této zkoušky se rozumí příprava a pořádání jednorázové kulturní akce, festivalu nebo produkce tvůrčího projektu, jehož cílem je prezentace nebo vytvoření uměleckého nebo obdobného díla (např. divadelní, taneční inscenace, hudební nebo vizuální performance či výstava), a to ať už se koná samostatně nebo v rámci organizace s pravidelným provozem.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autorizované osobě zpracovaný projekt v minimálním rozsahu 5 stran formátu A4 (návrh projektu může obsahovat skicy, nákresy a grafy) podle kompetencí nejpozději 5 pracovních dní před termínem zkoušky: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organizace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řízení kulturního projektu, kritérium a) 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zajištění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Marketing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kulturní projekt bude doručen na adresu autorizované osoby 1x v tištěné podobě a zároveň elektronicky. Při zkoušce probíhá prezentace zpracovaného projektu formou obhajoby, která je především předmětem hodnocení uchazeče.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produkce kulturních projektů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vlastní příklad kulturního projektu.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formou vylosovaných otázek 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v oblasti produkce kulturních projektů,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to pro kritérium a) uchazeč vybere vlastní příklad, na kterém objasní specifika produkce v oblasti kultury, b) minimálně 20 otázek, pro kritéria c) a d) minimálně po 10 otázkách a pro kritérium e) minimálně 3 otázky.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kritériu b), c), d) a e) vylosuje 1 otázku.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každé kritérium je zohledněno v několika otázkách.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každý uchazeč musí mít v souboru svých vylosovaných otázek zohledněno alespoň jednou každé kritérium (kritérium u něhož jsou losované otázky způsobem ověření a v souladu s pokynem,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4:45:15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- Divadelní ústav a Pražské Quadriennale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4:45:15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5BB9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