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214762" Type="http://schemas.openxmlformats.org/officeDocument/2006/relationships/officeDocument" Target="/word/document.xml" /><Relationship Id="coreRC214762" Type="http://schemas.openxmlformats.org/package/2006/relationships/metadata/core-properties" Target="/docProps/core.xml" /><Relationship Id="customRC2147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26.04.2016 do: 19.08.2020</w:t>
      </w:r>
    </w:p>
    <w:p>
      <w:pPr>
        <w:pStyle w:val="P21"/>
        <w:framePr w:w="7654" w:h="331" w:hRule="exact" w:wrap="none" w:vAnchor="page" w:hAnchor="margin" w:x="28" w:y="15940"/>
        <w:rPr>
          <w:rStyle w:val="C16"/>
          <w:rtl w:val="0"/>
        </w:rPr>
      </w:pPr>
      <w:r>
        <w:rPr>
          <w:rStyle w:val="C16"/>
          <w:rtl w:val="0"/>
        </w:rPr>
        <w:t>Chemický technik pro povrchové úpravy materiálů, 11.9.2026 21:05:44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49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781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realizuje zkouška) k bezpečnosti práce, požární ochraně a ochraně životního prostředí v souladu s legislativou a platnými normami.</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7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povrchové úpravy materiálů, 11.9.2026 21:05:44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obchodně technická škola Zlín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povrchové úpravy</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Synpo, akciová společnost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povrchové úpravy materiálů, 11.9.2026 21:05:44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CD32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