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107C33" Type="http://schemas.openxmlformats.org/officeDocument/2006/relationships/officeDocument" Target="/word/document.xml" /><Relationship Id="coreR10107C33" Type="http://schemas.openxmlformats.org/package/2006/relationships/metadata/core-properties" Target="/docProps/core.xml" /><Relationship Id="customR10107C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tvarového broušení v nábytkářské výrobě, 18.10.2026 18:31:15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 Alespoň 2 dílce budou mít složitý tvar nebo profil (vnitřní díry, tvarované drážky), to znamená, že budou opracovány ručně pomocí speciálch tvarových přípravků na broušení. 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splnění všech odborných kompetencí.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21"/>
        <w:framePr w:w="7654" w:h="331" w:hRule="exact" w:wrap="none" w:vAnchor="page" w:hAnchor="margin" w:x="28" w:y="15940"/>
        <w:rPr>
          <w:rStyle w:val="C16"/>
          <w:rtl w:val="0"/>
        </w:rPr>
      </w:pPr>
      <w:r>
        <w:rPr>
          <w:rStyle w:val="C16"/>
          <w:rtl w:val="0"/>
        </w:rPr>
        <w:t>Pracovník tvarového broušení v nábytkářské výrobě, 18.10.2026 18:31:15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tvarového broušení v nábytkářské výrobě, 18.10.2026 18:31:15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