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54F8E" Type="http://schemas.openxmlformats.org/officeDocument/2006/relationships/officeDocument" Target="/word/document.xml" /><Relationship Id="coreR20454F8E" Type="http://schemas.openxmlformats.org/package/2006/relationships/metadata/core-properties" Target="/docProps/core.xml" /><Relationship Id="customR20454F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Operátor/operátorka automatizovaných center stříkaných povrchových úprav v nábytkářské výrobě + střední vzdělání s maturitní zkouškou a alespoň 5 let odborné praxe v oblasti nábytkářské výroby.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5:02:53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A20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E3E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3B19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52F3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