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AC89D" Type="http://schemas.openxmlformats.org/officeDocument/2006/relationships/officeDocument" Target="/word/document.xml" /><Relationship Id="coreR411AC89D" Type="http://schemas.openxmlformats.org/package/2006/relationships/metadata/core-properties" Target="/docProps/core.xml" /><Relationship Id="customR411AC8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 strojírenská technička technoložka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8:33:16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8:33:16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8:33:16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8:33:16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 strojírenská technička technoložka a střední vzdělání s maturitní zkouškou a alespoň 5 let odborné praxe v oblasti technologie ve strojírenské výrobě.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8:33:16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8:33:16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8:33:16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AAF5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363D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