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8B3CB" Type="http://schemas.openxmlformats.org/officeDocument/2006/relationships/officeDocument" Target="/word/document.xml" /><Relationship Id="coreR6ED8B3CB" Type="http://schemas.openxmlformats.org/package/2006/relationships/metadata/core-properties" Target="/docProps/core.xml" /><Relationship Id="customR6ED8B3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14.10.2022</w:t>
      </w:r>
    </w:p>
    <w:p>
      <w:pPr>
        <w:pStyle w:val="P21"/>
        <w:framePr w:w="7654" w:h="331" w:hRule="exact" w:wrap="none" w:vAnchor="page" w:hAnchor="margin" w:x="28" w:y="15940"/>
        <w:rPr>
          <w:rStyle w:val="C16"/>
          <w:rtl w:val="0"/>
        </w:rPr>
      </w:pPr>
      <w:r>
        <w:rPr>
          <w:rStyle w:val="C16"/>
          <w:rtl w:val="0"/>
        </w:rPr>
        <w:t>Elektrotechnik zkušebny elektrických strojů a přístrojů, 10.9.2026 3:21:34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zkušebny elektrických strojů a přístrojů, 10.9.2026 3:21:34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 zkušebny elektrických strojů a přístrojů, 10.9.2026 3:21:34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platné osvědčení o odborné způsobilosti v elektrotechnice minimálně dle § 6 vyhlášky 50/1978 Sb., ve znění pozdějších předpisů.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Elektrotechnik zkušebny elektrických strojů a přístrojů, 10.9.2026 3:21:34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dále odborná způsobilost minimálně dle § 7 vyhlášky č. 50/1978 Sb., ve znění pozdějších předpisů.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zkušebny elektrických strojů a přístrojů, 10.9.2026 3:21:34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Sb.,ve znění pozdějších předpisů, o technických požadavcích na výrobky z hlediska jejich elektromagnetické kompatibility a nařízením vlády č. 176/2008 Sb.,ve znění pozdějších předpisů, o technických požadavcích na strojní zařízení ve znění nařízení vlády č. 170/2011 Sb.,ve znění pozdějších předpisů a nařízení vlády č. 229/2012 Sb.,ve znění pozdějších předpisů a dále k zajištění zkušební činnosti vyplývající ze zákona č. 22/1997 Sb.,ve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zkušebny elektrických strojů a přístrojů, 10.9.2026 3:21:34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 zkušebny elektrických strojů a přístrojů, 10.9.2026 3:21:34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916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3E6D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76E5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