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E80A59" Type="http://schemas.openxmlformats.org/officeDocument/2006/relationships/officeDocument" Target="/word/document.xml" /><Relationship Id="coreR2DE80A59" Type="http://schemas.openxmlformats.org/package/2006/relationships/metadata/core-properties" Target="/docProps/core.xml" /><Relationship Id="customR2DE80A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meziproduktu na úseku rafinerie-krystalizace při výrobě cukru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kvality suroviny pro výrobu cukru a smyslové posouzení jakosti polotovarů a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zaměstnanců rafinerie cukru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základní provozní evidence v rafinerii cukru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strojního zařízení a automatického systému řízení v rafinerii cukru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20.10.2026 10:28:30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rafinérii, bezpečné provádění všech úkonů a časové zvládání jednotlivých operací.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"Zpracování meziproduktu na úseku rafinerie-krystalizace při výrobě cukru" kritéria c) zadá zkoušející uchazeči zpracování meziproduktu z ohledem na konkrétní technologii v provozu, kde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20.10.2026 10:28:30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20.10.2026 10:28:30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