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73FAD8" Type="http://schemas.openxmlformats.org/officeDocument/2006/relationships/officeDocument" Target="/word/document.xml" /><Relationship Id="coreR5973FAD8" Type="http://schemas.openxmlformats.org/package/2006/relationships/metadata/core-properties" Target="/docProps/core.xml" /><Relationship Id="customR5973FA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Webdesignér – interakční designér / webdesignérka – interakční designérka (kód: 18-012-R)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Webový interakční designer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03.06.2023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Webdesignér – interakční designér / webdesignérka – interakční designérka, 11.9.2026 8:08:11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Peška Rostislav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Stavbařů 573/2, 35301 Mariánské Lázně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SUPER Kancelář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Klášteře 33, 26601 Beroun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Webdesignér – interakční designér / webdesignérka – interakční designérka, 11.9.2026 8:08:11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