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B536D" Type="http://schemas.openxmlformats.org/officeDocument/2006/relationships/officeDocument" Target="/word/document.xml" /><Relationship Id="coreR3F4B536D" Type="http://schemas.openxmlformats.org/package/2006/relationships/metadata/core-properties" Target="/docProps/core.xml" /><Relationship Id="customR3F4B53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Webdesignér – interakční designér / webdesignérka – interakční designérka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Webový interakční designer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700" w:hRule="exact" w:wrap="none" w:vAnchor="page" w:hAnchor="margin" w:x="0" w:y="9763"/>
        <w:rPr>
          <w:rStyle w:val="C3"/>
          <w:rtl w:val="0"/>
        </w:rPr>
      </w:pPr>
    </w:p>
    <w:p>
      <w:pPr>
        <w:pStyle w:val="P35"/>
        <w:framePr w:w="10710" w:h="547" w:hRule="exact" w:wrap="none" w:vAnchor="page" w:hAnchor="margin" w:x="28" w:y="9763"/>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103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847"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7:44:49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7246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79C2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