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46B6AB" Type="http://schemas.openxmlformats.org/officeDocument/2006/relationships/officeDocument" Target="/word/document.xml" /><Relationship Id="coreRE46B6AB" Type="http://schemas.openxmlformats.org/package/2006/relationships/metadata/core-properties" Target="/docProps/core.xml" /><Relationship Id="customRE46B6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Programátor/programátorka PLC, 22.10.2026 10:16:52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22.10.2026 10:16:52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22.10.2026 10:16:52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připuštění uchazeče ke zkoušce je nutné, aby uchazeč doložil vzdělání v elektrotechnickém oboru, které je podmínkou pro získání odborné způsobilosti dle paragrafu 5 vyhlášky č. 50/1978 Sb., ve znění pozdějších předpisů.</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PLC, 22.10.2026 10:16:52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a současně musí splňovat odbornou způsobilost v elektrotechnice dle vyhlášky č. 50/1978 Sb. min. §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a současně musí splňovat odbornou způsobilost v elektrotechnice dle vyhlášky č. 50/1978 Sb. min. §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Programátor/programátorka PLC, střední vzdělání s maturitní zkouškou a alespoň 5 let prokázané odborné praxe v oblasti průmyslových řídicích systémů a současně musí splňovat odbornou způsobilost v elektrotechnice dle vyhlášky č. 50/1978 Sb. min. § 5.</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Programátor/programátorka PLC, 22.10.2026 10:16:52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PLC, 22.10.2026 10:16:52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PLC, 22.10.2026 10:16:52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EFD4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3663C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71DB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5B19A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