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BA5E2" Type="http://schemas.openxmlformats.org/officeDocument/2006/relationships/officeDocument" Target="/word/document.xml" /><Relationship Id="coreRC7BA5E2" Type="http://schemas.openxmlformats.org/package/2006/relationships/metadata/core-properties" Target="/docProps/core.xml" /><Relationship Id="customRC7BA5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povodí (kód: 36-152-M)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správy povodí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Jednání s investory a správními orgány ve vodohospodářské sféře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Prevence před povodněmi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hydrologických a hydrotechnických výpočtů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26.04.2016 do: 06.10.2020</w:t>
      </w:r>
    </w:p>
    <w:p>
      <w:pPr>
        <w:pStyle w:val="P21"/>
        <w:framePr w:w="7654" w:h="331" w:hRule="exact" w:wrap="none" w:vAnchor="page" w:hAnchor="margin" w:x="28" w:y="15940"/>
        <w:rPr>
          <w:rStyle w:val="C16"/>
          <w:rtl w:val="0"/>
        </w:rPr>
      </w:pPr>
      <w:r>
        <w:rPr>
          <w:rStyle w:val="C16"/>
          <w:rtl w:val="0"/>
        </w:rPr>
        <w:t>Vodohospodářský technik správy povodí, 17.8.2026 23:29:20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17.8.2026 23:29:20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Vyjmenovat příklady jevů rozhodných pro vznik povodně</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Popsat vodní tok a proudění vody v korytě přirozeném, upraveném a umělém nad mapami a výkresy a uvést povinnosti a práva správce vodního toku a vlastníků okolních pozemků a staveb ve vztahu k vodnímu toku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547" w:hRule="exact" w:wrap="none" w:vAnchor="page" w:hAnchor="margin" w:x="28" w:y="7219"/>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7866"/>
        <w:rPr>
          <w:rStyle w:val="C3"/>
          <w:rtl w:val="0"/>
        </w:rPr>
      </w:pPr>
    </w:p>
    <w:p>
      <w:pPr>
        <w:pStyle w:val="P25"/>
        <w:framePr w:w="6661" w:h="249" w:hRule="exact" w:wrap="none" w:vAnchor="page" w:hAnchor="margin" w:x="71" w:y="7937"/>
        <w:rPr>
          <w:rStyle w:val="C19"/>
          <w:rtl w:val="0"/>
        </w:rPr>
      </w:pPr>
      <w:r>
        <w:rPr>
          <w:rStyle w:val="C19"/>
          <w:rtl w:val="0"/>
        </w:rPr>
        <w:t>Kritéria hodnocení</w:t>
      </w:r>
    </w:p>
    <w:p>
      <w:pPr>
        <w:pStyle w:val="P26"/>
        <w:framePr w:w="3918" w:h="376" w:hRule="exact" w:wrap="none" w:vAnchor="page" w:hAnchor="margin" w:x="6803" w:y="7866"/>
        <w:rPr>
          <w:rStyle w:val="C3"/>
          <w:rtl w:val="0"/>
        </w:rPr>
      </w:pPr>
    </w:p>
    <w:p>
      <w:pPr>
        <w:pStyle w:val="P27"/>
        <w:framePr w:w="3836" w:h="249" w:hRule="exact" w:wrap="none" w:vAnchor="page" w:hAnchor="margin" w:x="6859" w:y="7937"/>
        <w:rPr>
          <w:rStyle w:val="C20"/>
          <w:rtl w:val="0"/>
        </w:rPr>
      </w:pPr>
      <w:r>
        <w:rPr>
          <w:rStyle w:val="C20"/>
          <w:rtl w:val="0"/>
        </w:rPr>
        <w:t>Způsoby ověření</w:t>
      </w:r>
    </w:p>
    <w:p>
      <w:pPr>
        <w:pStyle w:val="P12"/>
        <w:framePr w:w="6710" w:h="376" w:hRule="exact" w:wrap="none" w:vAnchor="page" w:hAnchor="margin" w:x="45" w:y="8242"/>
        <w:rPr>
          <w:rStyle w:val="C3"/>
          <w:rtl w:val="0"/>
        </w:rPr>
      </w:pPr>
    </w:p>
    <w:p>
      <w:pPr>
        <w:pStyle w:val="P13"/>
        <w:framePr w:w="6658" w:h="249" w:hRule="exact" w:wrap="none" w:vAnchor="page" w:hAnchor="margin" w:x="71" w:y="8298"/>
        <w:rPr>
          <w:rStyle w:val="C11"/>
          <w:rtl w:val="0"/>
        </w:rPr>
      </w:pPr>
      <w:r>
        <w:rPr>
          <w:rStyle w:val="C11"/>
          <w:rtl w:val="0"/>
        </w:rPr>
        <w:t>a) Popsat charakteristické vlivy hospodaření v povodí na vodní režim</w:t>
      </w:r>
    </w:p>
    <w:p>
      <w:pPr>
        <w:pStyle w:val="P28"/>
        <w:framePr w:w="3921" w:h="376" w:hRule="exact" w:wrap="none" w:vAnchor="page" w:hAnchor="margin" w:x="6800" w:y="8242"/>
        <w:rPr>
          <w:rStyle w:val="C3"/>
          <w:rtl w:val="0"/>
        </w:rPr>
      </w:pPr>
    </w:p>
    <w:p>
      <w:pPr>
        <w:pStyle w:val="P29"/>
        <w:framePr w:w="3839" w:h="249" w:hRule="exact" w:wrap="none" w:vAnchor="page" w:hAnchor="margin" w:x="6856" w:y="8298"/>
        <w:rPr>
          <w:rStyle w:val="C21"/>
          <w:rtl w:val="0"/>
        </w:rPr>
      </w:pPr>
      <w:r>
        <w:rPr>
          <w:rStyle w:val="C21"/>
          <w:rtl w:val="0"/>
        </w:rPr>
        <w:t>Ústní ověření</w:t>
      </w:r>
    </w:p>
    <w:p>
      <w:pPr>
        <w:pStyle w:val="P16"/>
        <w:framePr w:w="6710" w:h="607" w:hRule="exact" w:wrap="none" w:vAnchor="page" w:hAnchor="margin" w:x="45" w:y="8618"/>
        <w:rPr>
          <w:rStyle w:val="C3"/>
          <w:rtl w:val="0"/>
        </w:rPr>
      </w:pPr>
    </w:p>
    <w:p>
      <w:pPr>
        <w:pStyle w:val="P17"/>
        <w:framePr w:w="6658" w:h="480" w:hRule="exact" w:wrap="none" w:vAnchor="page" w:hAnchor="margin" w:x="71" w:y="8674"/>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8618"/>
        <w:rPr>
          <w:rStyle w:val="C3"/>
          <w:rtl w:val="0"/>
        </w:rPr>
      </w:pPr>
    </w:p>
    <w:p>
      <w:pPr>
        <w:pStyle w:val="P31"/>
        <w:framePr w:w="3839" w:h="480" w:hRule="exact" w:wrap="none" w:vAnchor="page" w:hAnchor="margin" w:x="6856" w:y="8674"/>
        <w:rPr>
          <w:rStyle w:val="C22"/>
          <w:rtl w:val="0"/>
        </w:rPr>
      </w:pPr>
      <w:r>
        <w:rPr>
          <w:rStyle w:val="C22"/>
          <w:rtl w:val="0"/>
        </w:rPr>
        <w:t>Ústní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c) Vysvětlit účel a praktické využití vodohospodářských studií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Písemné a 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831" w:hRule="exact" w:wrap="none" w:vAnchor="page" w:hAnchor="margin" w:x="45" w:y="10815"/>
        <w:rPr>
          <w:rStyle w:val="C3"/>
          <w:rtl w:val="0"/>
        </w:rPr>
      </w:pPr>
    </w:p>
    <w:p>
      <w:pPr>
        <w:pStyle w:val="P17"/>
        <w:framePr w:w="6658" w:h="704" w:hRule="exact" w:wrap="none" w:vAnchor="page" w:hAnchor="margin" w:x="71" w:y="10871"/>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10815"/>
        <w:rPr>
          <w:rStyle w:val="C3"/>
          <w:rtl w:val="0"/>
        </w:rPr>
      </w:pPr>
    </w:p>
    <w:p>
      <w:pPr>
        <w:pStyle w:val="P31"/>
        <w:framePr w:w="3839" w:h="704"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760"/>
        <w:rPr>
          <w:rStyle w:val="C23"/>
          <w:rtl w:val="0"/>
        </w:rPr>
      </w:pPr>
      <w:r>
        <w:rPr>
          <w:rStyle w:val="C23"/>
          <w:rtl w:val="0"/>
        </w:rPr>
        <w:t>Je třeba splnit všechna kritéria.</w:t>
      </w:r>
    </w:p>
    <w:p>
      <w:pPr>
        <w:pStyle w:val="P23"/>
        <w:framePr w:w="10710" w:h="340" w:hRule="exact" w:wrap="none" w:vAnchor="page" w:hAnchor="margin" w:x="28" w:y="12195"/>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Ústní ověření</w:t>
      </w:r>
    </w:p>
    <w:p>
      <w:pPr>
        <w:pStyle w:val="P16"/>
        <w:framePr w:w="6710" w:h="607" w:hRule="exact" w:wrap="none" w:vAnchor="page" w:hAnchor="margin" w:x="45" w:y="13618"/>
        <w:rPr>
          <w:rStyle w:val="C3"/>
          <w:rtl w:val="0"/>
        </w:rPr>
      </w:pPr>
    </w:p>
    <w:p>
      <w:pPr>
        <w:pStyle w:val="P17"/>
        <w:framePr w:w="6658" w:h="480" w:hRule="exact" w:wrap="none" w:vAnchor="page" w:hAnchor="margin" w:x="71" w:y="13674"/>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3618"/>
        <w:rPr>
          <w:rStyle w:val="C3"/>
          <w:rtl w:val="0"/>
        </w:rPr>
      </w:pPr>
    </w:p>
    <w:p>
      <w:pPr>
        <w:pStyle w:val="P31"/>
        <w:framePr w:w="3839" w:h="480" w:hRule="exact" w:wrap="none" w:vAnchor="page" w:hAnchor="margin" w:x="6856" w:y="13674"/>
        <w:rPr>
          <w:rStyle w:val="C22"/>
          <w:rtl w:val="0"/>
        </w:rPr>
      </w:pPr>
      <w:r>
        <w:rPr>
          <w:rStyle w:val="C22"/>
          <w:rtl w:val="0"/>
        </w:rPr>
        <w:t>Praktické předvedení a ústní ověření</w:t>
      </w:r>
    </w:p>
    <w:p>
      <w:pPr>
        <w:pStyle w:val="P12"/>
        <w:framePr w:w="6710" w:h="607" w:hRule="exact" w:wrap="none" w:vAnchor="page" w:hAnchor="margin" w:x="45" w:y="14224"/>
        <w:rPr>
          <w:rStyle w:val="C3"/>
          <w:rtl w:val="0"/>
        </w:rPr>
      </w:pPr>
    </w:p>
    <w:p>
      <w:pPr>
        <w:pStyle w:val="P13"/>
        <w:framePr w:w="6658" w:h="480" w:hRule="exact" w:wrap="none" w:vAnchor="page" w:hAnchor="margin" w:x="71" w:y="14280"/>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4224"/>
        <w:rPr>
          <w:rStyle w:val="C3"/>
          <w:rtl w:val="0"/>
        </w:rPr>
      </w:pPr>
    </w:p>
    <w:p>
      <w:pPr>
        <w:pStyle w:val="P29"/>
        <w:framePr w:w="3839" w:h="480"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4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17.8.2026 23:29:20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Jednání s investory a správními orgány ve vodohospodářské sféře</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12"/>
        <w:framePr w:w="6710" w:h="1055" w:hRule="exact" w:wrap="none" w:vAnchor="page" w:hAnchor="margin" w:x="45" w:y="11907"/>
        <w:rPr>
          <w:rStyle w:val="C3"/>
          <w:rtl w:val="0"/>
        </w:rPr>
      </w:pPr>
    </w:p>
    <w:p>
      <w:pPr>
        <w:pStyle w:val="P13"/>
        <w:framePr w:w="6658" w:h="928" w:hRule="exact" w:wrap="none" w:vAnchor="page" w:hAnchor="margin" w:x="71" w:y="11963"/>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1907"/>
        <w:rPr>
          <w:rStyle w:val="C3"/>
          <w:rtl w:val="0"/>
        </w:rPr>
      </w:pPr>
    </w:p>
    <w:p>
      <w:pPr>
        <w:pStyle w:val="P29"/>
        <w:framePr w:w="3839" w:h="928" w:hRule="exact" w:wrap="none" w:vAnchor="page" w:hAnchor="margin" w:x="6856" w:y="11963"/>
        <w:rPr>
          <w:rStyle w:val="C21"/>
          <w:rtl w:val="0"/>
        </w:rPr>
      </w:pPr>
      <w:r>
        <w:rPr>
          <w:rStyle w:val="C21"/>
          <w:rtl w:val="0"/>
        </w:rPr>
        <w:t>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17.8.2026 23:29:20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obsah předpovodňové prevence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Provádění hydrologických a hydrotechnických výpočtů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Vysvětlit pojem m-denní průtok a n-letá voda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charakteristiku nádrže a konsumpční křivky koryta vodního toku a bezpečnostního přelivu a vysvětlit jejich použití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Vypočítat kapacitu koryta dle zadání (Chézyho rovnice)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Vypočítat ztrátu ornice (Wischmeier-Smithova rovnice)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17.8.2026 23:29:20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 Provádění prevence před povodněmi </w:t>
      </w:r>
      <w:r>
        <w:rPr>
          <w:rFonts w:ascii="Arial" w:cs="Arial" w:hAnsi="Arial" w:eastAsia="Arial"/>
          <w:b w:val="0"/>
          <w:i w:val="0"/>
          <w:caps w:val="0"/>
          <w:strike w:val="0"/>
          <w:noProof w:val="0"/>
          <w:vanish w:val="0"/>
          <w:color w:val="auto"/>
          <w:sz w:val="20"/>
          <w:u w:val="none"/>
          <w:shd w:val="clear" w:color="auto" w:fill="auto"/>
          <w:vertAlign w:val="baseline"/>
          <w:lang/>
        </w:rPr>
        <w:t xml:space="preserve">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Sledování a posuzování hydrologických, meteorologických a provozních údajů, 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sledovat a vyhodnocovat požadované údaje a výpočty. Současně své znalosti prokáže splněním hodnoticích kritérií s ústním ověřením.</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v kritériích b) a c).</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až listopad. Zkouška nemůže být provedena během povodní, extrémního sucha nebo mrazů.</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 </w:t>
      </w:r>
    </w:p>
    <w:p>
      <w:pPr>
        <w:pStyle w:val="P33"/>
        <w:framePr w:w="10766" w:h="1837"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Výsledné hodnocení</w:t>
      </w:r>
    </w:p>
    <w:p>
      <w:pPr>
        <w:keepNext w:val="0"/>
        <w:keepLines w:val="0"/>
        <w:framePr w:w="10766" w:h="1497" w:hRule="exact" w:wrap="none" w:vAnchor="page" w:hAnchor="margin" w:x="0" w:y="12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83"/>
        <w:rPr>
          <w:rStyle w:val="C3"/>
          <w:rtl w:val="0"/>
        </w:rPr>
      </w:pPr>
    </w:p>
    <w:p>
      <w:pPr>
        <w:pStyle w:val="P35"/>
        <w:framePr w:w="10710" w:h="340" w:hRule="exact" w:wrap="none" w:vAnchor="page" w:hAnchor="margin" w:x="28" w:y="14283"/>
        <w:rPr>
          <w:rStyle w:val="C25"/>
          <w:rtl w:val="0"/>
        </w:rPr>
      </w:pPr>
      <w:r>
        <w:rPr>
          <w:rStyle w:val="C25"/>
          <w:rtl w:val="0"/>
        </w:rPr>
        <w:t>Počet zkoušejících</w:t>
      </w:r>
    </w:p>
    <w:p>
      <w:pPr>
        <w:keepNext w:val="0"/>
        <w:keepLines w:val="0"/>
        <w:framePr w:w="10766" w:h="103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povodí, 17.8.2026 23:29:20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36-152-M Vodohospodářský technik správy povodí + střední vzdělání s maturitní zkouškou a alespoň 7 let praxe jako vodohospodářský technik správy povodí,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povodí, 17.8.2026 23:29:20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povodí, 17.8.2026 23:29:20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povodí, 17.8.2026 23:29:20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E816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624D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1FF3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