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BB268" Type="http://schemas.openxmlformats.org/officeDocument/2006/relationships/officeDocument" Target="/word/document.xml" /><Relationship Id="coreR715BB268" Type="http://schemas.openxmlformats.org/package/2006/relationships/metadata/core-properties" Target="/docProps/core.xml" /><Relationship Id="customR715BB2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stupně opotřebení a funkční způsobilosti jednotlivých součástí s ohledem na optimální provoz"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základních renovačních metod při obnově součástí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v kritériu a) pro renovaci využity součásti, které praskly v důsledku vysokého namáhání (hydraulická hadice či píst).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