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0B4A6" Type="http://schemas.openxmlformats.org/officeDocument/2006/relationships/officeDocument" Target="/word/document.xml" /><Relationship Id="coreR2D90B4A6" Type="http://schemas.openxmlformats.org/package/2006/relationships/metadata/core-properties" Target="/docProps/core.xml" /><Relationship Id="customR2D90B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stupně opotřebení a funkční způsobilosti jednotlivých součástí s ohledem na optimální provoz"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základních renovačních metod při obnově součástí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v kritériu a) pro renovaci využity součásti, které praskly v důsledku vysokého namáhání (hydraulická hadice či píst).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