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AA71E35" Type="http://schemas.openxmlformats.org/officeDocument/2006/relationships/officeDocument" Target="/word/document.xml" /><Relationship Id="coreR7AA71E35" Type="http://schemas.openxmlformats.org/package/2006/relationships/metadata/core-properties" Target="/docProps/core.xml" /><Relationship Id="customR7AA71E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 environmentální geochemik/geochemička (kód: 28-084-M)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environmentální geochemik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legislativních požadavcích v oblasti environmentální geochemie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průzkumu znečištění horninového prostředí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koncentrací znečišťujících látek v horninovém prostředí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Posouzení vlivu znečišťujících látek v horninovém prostředí na životní prostředí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Navržení nápravných opatření k odstranění závadného stavu horninového prostředí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bezpečnosti a ochrany zdraví při práci, hygieny práce a ochrany životního prostředí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1.8.2026 7:28:13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legislativních požadavcích v oblasti environmentální geochemie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Vyhledat ve veřejně přístupné databázi legislativní a metodické požadavky pro průzkum kontaminovaného území znečišťujícími látkami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Vyhledat ve veřejně přístupné databázi legislativní a metodické požadavky pro provádění analýzy rizik kontaminovaného území znečišťujícími látkami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ve veřejně přístupné databázi legislativní a metodické požadavky na vypracování studie proveditelnosti v rámci procesu nápravy závadného stavu kontaminovaných území znečišťujícími látkami</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Provádění průzkumu znečištění horninového prostředí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Navrhnout možný způsob rešerše dat o pravděpodobném znečištění horninového prostředí</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Navrhnout program vzorkování vč. zabezpečení a kontroly kvality vzorkování na základě zadaných údajů o pravděpodobném znečištění horninového prostředí</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375"/>
        <w:rPr>
          <w:rStyle w:val="C3"/>
          <w:rtl w:val="0"/>
        </w:rPr>
      </w:pPr>
    </w:p>
    <w:p>
      <w:pPr>
        <w:pStyle w:val="P13"/>
        <w:framePr w:w="6658" w:h="480" w:hRule="exact" w:wrap="none" w:vAnchor="page" w:hAnchor="margin" w:x="71" w:y="8431"/>
        <w:rPr>
          <w:rStyle w:val="C11"/>
          <w:rtl w:val="0"/>
        </w:rPr>
      </w:pPr>
      <w:r>
        <w:rPr>
          <w:rStyle w:val="C11"/>
          <w:rtl w:val="0"/>
        </w:rPr>
        <w:t>c) Provést odběr zadaného vzorku na základě zadaného plánu vzorkování horninového prostředí</w:t>
      </w:r>
    </w:p>
    <w:p>
      <w:pPr>
        <w:pStyle w:val="P28"/>
        <w:framePr w:w="3921" w:h="607" w:hRule="exact" w:wrap="none" w:vAnchor="page" w:hAnchor="margin" w:x="6800" w:y="8375"/>
        <w:rPr>
          <w:rStyle w:val="C3"/>
          <w:rtl w:val="0"/>
        </w:rPr>
      </w:pPr>
    </w:p>
    <w:p>
      <w:pPr>
        <w:pStyle w:val="P29"/>
        <w:framePr w:w="3839" w:h="480" w:hRule="exact" w:wrap="none" w:vAnchor="page" w:hAnchor="margin" w:x="6856" w:y="8431"/>
        <w:rPr>
          <w:rStyle w:val="C21"/>
          <w:rtl w:val="0"/>
        </w:rPr>
      </w:pPr>
      <w:r>
        <w:rPr>
          <w:rStyle w:val="C21"/>
          <w:rtl w:val="0"/>
        </w:rPr>
        <w:t>Praktické předvedení a ústní ověření</w:t>
      </w:r>
    </w:p>
    <w:p>
      <w:pPr>
        <w:pStyle w:val="P16"/>
        <w:framePr w:w="6710" w:h="607" w:hRule="exact" w:wrap="none" w:vAnchor="page" w:hAnchor="margin" w:x="45" w:y="8981"/>
        <w:rPr>
          <w:rStyle w:val="C3"/>
          <w:rtl w:val="0"/>
        </w:rPr>
      </w:pPr>
    </w:p>
    <w:p>
      <w:pPr>
        <w:pStyle w:val="P17"/>
        <w:framePr w:w="6658" w:h="480" w:hRule="exact" w:wrap="none" w:vAnchor="page" w:hAnchor="margin" w:x="71" w:y="9037"/>
        <w:rPr>
          <w:rStyle w:val="C13"/>
          <w:rtl w:val="0"/>
        </w:rPr>
      </w:pPr>
      <w:r>
        <w:rPr>
          <w:rStyle w:val="C13"/>
          <w:rtl w:val="0"/>
        </w:rPr>
        <w:t>d) Provést terénní měření zadaných fyzikálních veličin na základě zadaného plánu vzorkování horninového prostředí</w:t>
      </w:r>
    </w:p>
    <w:p>
      <w:pPr>
        <w:pStyle w:val="P30"/>
        <w:framePr w:w="3921" w:h="607" w:hRule="exact" w:wrap="none" w:vAnchor="page" w:hAnchor="margin" w:x="6800" w:y="8981"/>
        <w:rPr>
          <w:rStyle w:val="C3"/>
          <w:rtl w:val="0"/>
        </w:rPr>
      </w:pPr>
    </w:p>
    <w:p>
      <w:pPr>
        <w:pStyle w:val="P31"/>
        <w:framePr w:w="3839" w:h="480" w:hRule="exact" w:wrap="none" w:vAnchor="page" w:hAnchor="margin" w:x="6856" w:y="9037"/>
        <w:rPr>
          <w:rStyle w:val="C22"/>
          <w:rtl w:val="0"/>
        </w:rPr>
      </w:pPr>
      <w:r>
        <w:rPr>
          <w:rStyle w:val="C22"/>
          <w:rtl w:val="0"/>
        </w:rPr>
        <w:t>Praktické předvedení a ústní ověření</w:t>
      </w:r>
    </w:p>
    <w:p>
      <w:pPr>
        <w:pStyle w:val="P12"/>
        <w:framePr w:w="6710" w:h="607" w:hRule="exact" w:wrap="none" w:vAnchor="page" w:hAnchor="margin" w:x="45" w:y="9588"/>
        <w:rPr>
          <w:rStyle w:val="C3"/>
          <w:rtl w:val="0"/>
        </w:rPr>
      </w:pPr>
    </w:p>
    <w:p>
      <w:pPr>
        <w:pStyle w:val="P13"/>
        <w:framePr w:w="6658" w:h="480" w:hRule="exact" w:wrap="none" w:vAnchor="page" w:hAnchor="margin" w:x="71" w:y="9644"/>
        <w:rPr>
          <w:rStyle w:val="C11"/>
          <w:rtl w:val="0"/>
        </w:rPr>
      </w:pPr>
      <w:r>
        <w:rPr>
          <w:rStyle w:val="C11"/>
          <w:rtl w:val="0"/>
        </w:rPr>
        <w:t>e) Použít osobní ochranné pracovní prostředky na základě stanovených rizik v oblasti BOZP</w:t>
      </w:r>
    </w:p>
    <w:p>
      <w:pPr>
        <w:pStyle w:val="P28"/>
        <w:framePr w:w="3921" w:h="607" w:hRule="exact" w:wrap="none" w:vAnchor="page" w:hAnchor="margin" w:x="6800" w:y="9588"/>
        <w:rPr>
          <w:rStyle w:val="C3"/>
          <w:rtl w:val="0"/>
        </w:rPr>
      </w:pPr>
    </w:p>
    <w:p>
      <w:pPr>
        <w:pStyle w:val="P29"/>
        <w:framePr w:w="3839" w:h="480" w:hRule="exact" w:wrap="none" w:vAnchor="page" w:hAnchor="margin" w:x="6856" w:y="9644"/>
        <w:rPr>
          <w:rStyle w:val="C21"/>
          <w:rtl w:val="0"/>
        </w:rPr>
      </w:pPr>
      <w:r>
        <w:rPr>
          <w:rStyle w:val="C21"/>
          <w:rtl w:val="0"/>
        </w:rPr>
        <w:t>Praktické předvedení</w:t>
      </w:r>
    </w:p>
    <w:p>
      <w:pPr>
        <w:pStyle w:val="P32"/>
        <w:framePr w:w="10710" w:h="248" w:hRule="exact" w:wrap="none" w:vAnchor="page" w:hAnchor="margin" w:x="28" w:y="10308"/>
        <w:rPr>
          <w:rStyle w:val="C23"/>
          <w:rtl w:val="0"/>
        </w:rPr>
      </w:pPr>
      <w:r>
        <w:rPr>
          <w:rStyle w:val="C23"/>
          <w:rtl w:val="0"/>
        </w:rPr>
        <w:t>Je třeba splnit všechna kritéria.</w:t>
      </w:r>
    </w:p>
    <w:p>
      <w:pPr>
        <w:pStyle w:val="P23"/>
        <w:framePr w:w="10710" w:h="340" w:hRule="exact" w:wrap="none" w:vAnchor="page" w:hAnchor="margin" w:x="28" w:y="10744"/>
        <w:rPr>
          <w:rStyle w:val="C18"/>
          <w:rtl w:val="0"/>
        </w:rPr>
      </w:pPr>
      <w:r>
        <w:rPr>
          <w:rStyle w:val="C18"/>
          <w:rtl w:val="0"/>
        </w:rPr>
        <w:t>Vyhodnocení koncentrací znečišťujících látek v horninovém prostředí</w:t>
      </w:r>
    </w:p>
    <w:p>
      <w:pPr>
        <w:pStyle w:val="P24"/>
        <w:framePr w:w="6713" w:h="376" w:hRule="exact" w:wrap="none" w:vAnchor="page" w:hAnchor="margin" w:x="45" w:y="11183"/>
        <w:rPr>
          <w:rStyle w:val="C3"/>
          <w:rtl w:val="0"/>
        </w:rPr>
      </w:pPr>
    </w:p>
    <w:p>
      <w:pPr>
        <w:pStyle w:val="P25"/>
        <w:framePr w:w="6661" w:h="249" w:hRule="exact" w:wrap="none" w:vAnchor="page" w:hAnchor="margin" w:x="71" w:y="11254"/>
        <w:rPr>
          <w:rStyle w:val="C19"/>
          <w:rtl w:val="0"/>
        </w:rPr>
      </w:pPr>
      <w:r>
        <w:rPr>
          <w:rStyle w:val="C19"/>
          <w:rtl w:val="0"/>
        </w:rPr>
        <w:t>Kritéria hodnocení</w:t>
      </w:r>
    </w:p>
    <w:p>
      <w:pPr>
        <w:pStyle w:val="P26"/>
        <w:framePr w:w="3918" w:h="376" w:hRule="exact" w:wrap="none" w:vAnchor="page" w:hAnchor="margin" w:x="6803" w:y="11183"/>
        <w:rPr>
          <w:rStyle w:val="C3"/>
          <w:rtl w:val="0"/>
        </w:rPr>
      </w:pPr>
    </w:p>
    <w:p>
      <w:pPr>
        <w:pStyle w:val="P27"/>
        <w:framePr w:w="3836" w:h="249" w:hRule="exact" w:wrap="none" w:vAnchor="page" w:hAnchor="margin" w:x="6859" w:y="11254"/>
        <w:rPr>
          <w:rStyle w:val="C20"/>
          <w:rtl w:val="0"/>
        </w:rPr>
      </w:pPr>
      <w:r>
        <w:rPr>
          <w:rStyle w:val="C20"/>
          <w:rtl w:val="0"/>
        </w:rPr>
        <w:t>Způsoby ověření</w:t>
      </w:r>
    </w:p>
    <w:p>
      <w:pPr>
        <w:pStyle w:val="P12"/>
        <w:framePr w:w="6710" w:h="607" w:hRule="exact" w:wrap="none" w:vAnchor="page" w:hAnchor="margin" w:x="45" w:y="11560"/>
        <w:rPr>
          <w:rStyle w:val="C3"/>
          <w:rtl w:val="0"/>
        </w:rPr>
      </w:pPr>
    </w:p>
    <w:p>
      <w:pPr>
        <w:pStyle w:val="P13"/>
        <w:framePr w:w="6658" w:h="480" w:hRule="exact" w:wrap="none" w:vAnchor="page" w:hAnchor="margin" w:x="71" w:y="11616"/>
        <w:rPr>
          <w:rStyle w:val="C11"/>
          <w:rtl w:val="0"/>
        </w:rPr>
      </w:pPr>
      <w:r>
        <w:rPr>
          <w:rStyle w:val="C11"/>
          <w:rtl w:val="0"/>
        </w:rPr>
        <w:t>a) Vyhodnotit úroveň znečištění v souladu s legislativními požadavky na základě zadaných koncentrací znečišťujících látek v horninovém prostředí</w:t>
      </w:r>
    </w:p>
    <w:p>
      <w:pPr>
        <w:pStyle w:val="P28"/>
        <w:framePr w:w="3921" w:h="607" w:hRule="exact" w:wrap="none" w:vAnchor="page" w:hAnchor="margin" w:x="6800" w:y="11560"/>
        <w:rPr>
          <w:rStyle w:val="C3"/>
          <w:rtl w:val="0"/>
        </w:rPr>
      </w:pPr>
    </w:p>
    <w:p>
      <w:pPr>
        <w:pStyle w:val="P29"/>
        <w:framePr w:w="3839" w:h="480" w:hRule="exact" w:wrap="none" w:vAnchor="page" w:hAnchor="margin" w:x="6856" w:y="11616"/>
        <w:rPr>
          <w:rStyle w:val="C21"/>
          <w:rtl w:val="0"/>
        </w:rPr>
      </w:pPr>
      <w:r>
        <w:rPr>
          <w:rStyle w:val="C21"/>
          <w:rtl w:val="0"/>
        </w:rPr>
        <w:t>Praktické předvedení a ústní ověření</w:t>
      </w:r>
    </w:p>
    <w:p>
      <w:pPr>
        <w:pStyle w:val="P16"/>
        <w:framePr w:w="6710" w:h="607" w:hRule="exact" w:wrap="none" w:vAnchor="page" w:hAnchor="margin" w:x="45" w:y="12166"/>
        <w:rPr>
          <w:rStyle w:val="C3"/>
          <w:rtl w:val="0"/>
        </w:rPr>
      </w:pPr>
    </w:p>
    <w:p>
      <w:pPr>
        <w:pStyle w:val="P17"/>
        <w:framePr w:w="6658" w:h="480" w:hRule="exact" w:wrap="none" w:vAnchor="page" w:hAnchor="margin" w:x="71" w:y="12222"/>
        <w:rPr>
          <w:rStyle w:val="C13"/>
          <w:rtl w:val="0"/>
        </w:rPr>
      </w:pPr>
      <w:r>
        <w:rPr>
          <w:rStyle w:val="C13"/>
          <w:rtl w:val="0"/>
        </w:rPr>
        <w:t>b) Popsat legislativní postup při překročení hodnot indikátorů nebo právních požadavků znečištění horninového prostředí</w:t>
      </w:r>
    </w:p>
    <w:p>
      <w:pPr>
        <w:pStyle w:val="P30"/>
        <w:framePr w:w="3921" w:h="607" w:hRule="exact" w:wrap="none" w:vAnchor="page" w:hAnchor="margin" w:x="6800" w:y="12166"/>
        <w:rPr>
          <w:rStyle w:val="C3"/>
          <w:rtl w:val="0"/>
        </w:rPr>
      </w:pPr>
    </w:p>
    <w:p>
      <w:pPr>
        <w:pStyle w:val="P31"/>
        <w:framePr w:w="3839" w:h="480" w:hRule="exact" w:wrap="none" w:vAnchor="page" w:hAnchor="margin" w:x="6856" w:y="12222"/>
        <w:rPr>
          <w:rStyle w:val="C22"/>
          <w:rtl w:val="0"/>
        </w:rPr>
      </w:pPr>
      <w:r>
        <w:rPr>
          <w:rStyle w:val="C22"/>
          <w:rtl w:val="0"/>
        </w:rPr>
        <w:t>Ústní ověření</w:t>
      </w:r>
    </w:p>
    <w:p>
      <w:pPr>
        <w:pStyle w:val="P32"/>
        <w:framePr w:w="10710" w:h="248" w:hRule="exact" w:wrap="none" w:vAnchor="page" w:hAnchor="margin" w:x="28" w:y="1288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1.8.2026 7:28:13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Posouzení vlivu znečišťujících látek v horninovém prostředí na životní prostředí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geologické faktory, které určují rychlost a směr šíření znečištění v horninovém prostředí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Vytipovat ze zadané dokumentace prioritní kontaminanty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Vyhledat k zadaným prioritním kontaminantům základní toxikologické vlastnosti vč. uvedení použitého zdroje informací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Vyhledat k zadaným prioritním kontaminantům jejich vliv na ekosystémy vč. uvedení použitého zdroje informací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Navržení nápravných opatření k odstranění závadného stavu horninového prostředí</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Popsat základní sanační techniky a technologie nesaturované zóny</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Popsat základní sanační techniky a technologie saturované zóny</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Ústní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c) Vyhodnotit výsledky postsanačního monitoringu ve vztahu k cílovým parametrům nápravných opatření na základě zadané dokumentace</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32"/>
        <w:framePr w:w="10710" w:h="248" w:hRule="exact" w:wrap="none" w:vAnchor="page" w:hAnchor="margin" w:x="28" w:y="8004"/>
        <w:rPr>
          <w:rStyle w:val="C23"/>
          <w:rtl w:val="0"/>
        </w:rPr>
      </w:pPr>
      <w:r>
        <w:rPr>
          <w:rStyle w:val="C23"/>
          <w:rtl w:val="0"/>
        </w:rPr>
        <w:t>Je třeba splnit všechna kritéria.</w:t>
      </w:r>
    </w:p>
    <w:p>
      <w:pPr>
        <w:pStyle w:val="P23"/>
        <w:framePr w:w="10710" w:h="340" w:hRule="exact" w:wrap="none" w:vAnchor="page" w:hAnchor="margin" w:x="28" w:y="8439"/>
        <w:rPr>
          <w:rStyle w:val="C18"/>
          <w:rtl w:val="0"/>
        </w:rPr>
      </w:pPr>
      <w:r>
        <w:rPr>
          <w:rStyle w:val="C18"/>
          <w:rtl w:val="0"/>
        </w:rPr>
        <w:t>Dodržování bezpečnosti a ochrany zdraví při práci, hygieny práce a ochrany životního prostředí</w:t>
      </w:r>
    </w:p>
    <w:p>
      <w:pPr>
        <w:pStyle w:val="P24"/>
        <w:framePr w:w="6713" w:h="376" w:hRule="exact" w:wrap="none" w:vAnchor="page" w:hAnchor="margin" w:x="45" w:y="8879"/>
        <w:rPr>
          <w:rStyle w:val="C3"/>
          <w:rtl w:val="0"/>
        </w:rPr>
      </w:pPr>
    </w:p>
    <w:p>
      <w:pPr>
        <w:pStyle w:val="P25"/>
        <w:framePr w:w="6661" w:h="249" w:hRule="exact" w:wrap="none" w:vAnchor="page" w:hAnchor="margin" w:x="71" w:y="8950"/>
        <w:rPr>
          <w:rStyle w:val="C19"/>
          <w:rtl w:val="0"/>
        </w:rPr>
      </w:pPr>
      <w:r>
        <w:rPr>
          <w:rStyle w:val="C19"/>
          <w:rtl w:val="0"/>
        </w:rPr>
        <w:t>Kritéria hodnocení</w:t>
      </w:r>
    </w:p>
    <w:p>
      <w:pPr>
        <w:pStyle w:val="P26"/>
        <w:framePr w:w="3918" w:h="376" w:hRule="exact" w:wrap="none" w:vAnchor="page" w:hAnchor="margin" w:x="6803" w:y="8879"/>
        <w:rPr>
          <w:rStyle w:val="C3"/>
          <w:rtl w:val="0"/>
        </w:rPr>
      </w:pPr>
    </w:p>
    <w:p>
      <w:pPr>
        <w:pStyle w:val="P27"/>
        <w:framePr w:w="3836" w:h="249" w:hRule="exact" w:wrap="none" w:vAnchor="page" w:hAnchor="margin" w:x="6859" w:y="8950"/>
        <w:rPr>
          <w:rStyle w:val="C20"/>
          <w:rtl w:val="0"/>
        </w:rPr>
      </w:pPr>
      <w:r>
        <w:rPr>
          <w:rStyle w:val="C20"/>
          <w:rtl w:val="0"/>
        </w:rPr>
        <w:t>Způsoby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a) Uvést obecné požadavky na BOZP, bezpečné postupy a použití osobních ochranných pracovních prostředků (OOPP)</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Ústní ověření</w:t>
      </w:r>
    </w:p>
    <w:p>
      <w:pPr>
        <w:pStyle w:val="P16"/>
        <w:framePr w:w="6710" w:h="376" w:hRule="exact" w:wrap="none" w:vAnchor="page" w:hAnchor="margin" w:x="45" w:y="9862"/>
        <w:rPr>
          <w:rStyle w:val="C3"/>
          <w:rtl w:val="0"/>
        </w:rPr>
      </w:pPr>
    </w:p>
    <w:p>
      <w:pPr>
        <w:pStyle w:val="P17"/>
        <w:framePr w:w="6658" w:h="249" w:hRule="exact" w:wrap="none" w:vAnchor="page" w:hAnchor="margin" w:x="71" w:y="9918"/>
        <w:rPr>
          <w:rStyle w:val="C13"/>
          <w:rtl w:val="0"/>
        </w:rPr>
      </w:pPr>
      <w:r>
        <w:rPr>
          <w:rStyle w:val="C13"/>
          <w:rtl w:val="0"/>
        </w:rPr>
        <w:t>b) Uvést a popsat rizika, která se vyskytují při odběru vzorků</w:t>
      </w:r>
    </w:p>
    <w:p>
      <w:pPr>
        <w:pStyle w:val="P30"/>
        <w:framePr w:w="3921" w:h="376" w:hRule="exact" w:wrap="none" w:vAnchor="page" w:hAnchor="margin" w:x="6800" w:y="9862"/>
        <w:rPr>
          <w:rStyle w:val="C3"/>
          <w:rtl w:val="0"/>
        </w:rPr>
      </w:pPr>
    </w:p>
    <w:p>
      <w:pPr>
        <w:pStyle w:val="P31"/>
        <w:framePr w:w="3839" w:h="249" w:hRule="exact" w:wrap="none" w:vAnchor="page" w:hAnchor="margin" w:x="6856" w:y="9918"/>
        <w:rPr>
          <w:rStyle w:val="C22"/>
          <w:rtl w:val="0"/>
        </w:rPr>
      </w:pPr>
      <w:r>
        <w:rPr>
          <w:rStyle w:val="C22"/>
          <w:rtl w:val="0"/>
        </w:rPr>
        <w:t>Ústní ověření</w:t>
      </w:r>
    </w:p>
    <w:p>
      <w:pPr>
        <w:pStyle w:val="P12"/>
        <w:framePr w:w="6710" w:h="376" w:hRule="exact" w:wrap="none" w:vAnchor="page" w:hAnchor="margin" w:x="45" w:y="10238"/>
        <w:rPr>
          <w:rStyle w:val="C3"/>
          <w:rtl w:val="0"/>
        </w:rPr>
      </w:pPr>
    </w:p>
    <w:p>
      <w:pPr>
        <w:pStyle w:val="P13"/>
        <w:framePr w:w="6658" w:h="249" w:hRule="exact" w:wrap="none" w:vAnchor="page" w:hAnchor="margin" w:x="71" w:y="10294"/>
        <w:rPr>
          <w:rStyle w:val="C11"/>
          <w:rtl w:val="0"/>
        </w:rPr>
      </w:pPr>
      <w:r>
        <w:rPr>
          <w:rStyle w:val="C11"/>
          <w:rtl w:val="0"/>
        </w:rPr>
        <w:t>c) Navrhnout opatření k eliminaci rizik na základě jejich identifikace</w:t>
      </w:r>
    </w:p>
    <w:p>
      <w:pPr>
        <w:pStyle w:val="P28"/>
        <w:framePr w:w="3921" w:h="376" w:hRule="exact" w:wrap="none" w:vAnchor="page" w:hAnchor="margin" w:x="6800" w:y="10238"/>
        <w:rPr>
          <w:rStyle w:val="C3"/>
          <w:rtl w:val="0"/>
        </w:rPr>
      </w:pPr>
    </w:p>
    <w:p>
      <w:pPr>
        <w:pStyle w:val="P29"/>
        <w:framePr w:w="3839" w:h="249" w:hRule="exact" w:wrap="none" w:vAnchor="page" w:hAnchor="margin" w:x="6856" w:y="10294"/>
        <w:rPr>
          <w:rStyle w:val="C21"/>
          <w:rtl w:val="0"/>
        </w:rPr>
      </w:pPr>
      <w:r>
        <w:rPr>
          <w:rStyle w:val="C21"/>
          <w:rtl w:val="0"/>
        </w:rPr>
        <w:t>Praktické předvedení a ústní ověření</w:t>
      </w:r>
    </w:p>
    <w:p>
      <w:pPr>
        <w:pStyle w:val="P16"/>
        <w:framePr w:w="6710" w:h="376" w:hRule="exact" w:wrap="none" w:vAnchor="page" w:hAnchor="margin" w:x="45" w:y="10614"/>
        <w:rPr>
          <w:rStyle w:val="C3"/>
          <w:rtl w:val="0"/>
        </w:rPr>
      </w:pPr>
    </w:p>
    <w:p>
      <w:pPr>
        <w:pStyle w:val="P17"/>
        <w:framePr w:w="6658" w:h="249" w:hRule="exact" w:wrap="none" w:vAnchor="page" w:hAnchor="margin" w:x="71" w:y="10670"/>
        <w:rPr>
          <w:rStyle w:val="C13"/>
          <w:rtl w:val="0"/>
        </w:rPr>
      </w:pPr>
      <w:r>
        <w:rPr>
          <w:rStyle w:val="C13"/>
          <w:rtl w:val="0"/>
        </w:rPr>
        <w:t>d) Popsat způsob bezpečné práce při odběru vzorků z jednotlivých matric</w:t>
      </w:r>
    </w:p>
    <w:p>
      <w:pPr>
        <w:pStyle w:val="P30"/>
        <w:framePr w:w="3921" w:h="376" w:hRule="exact" w:wrap="none" w:vAnchor="page" w:hAnchor="margin" w:x="6800" w:y="10614"/>
        <w:rPr>
          <w:rStyle w:val="C3"/>
          <w:rtl w:val="0"/>
        </w:rPr>
      </w:pPr>
    </w:p>
    <w:p>
      <w:pPr>
        <w:pStyle w:val="P31"/>
        <w:framePr w:w="3839" w:h="249" w:hRule="exact" w:wrap="none" w:vAnchor="page" w:hAnchor="margin" w:x="6856" w:y="10670"/>
        <w:rPr>
          <w:rStyle w:val="C22"/>
          <w:rtl w:val="0"/>
        </w:rPr>
      </w:pPr>
      <w:r>
        <w:rPr>
          <w:rStyle w:val="C22"/>
          <w:rtl w:val="0"/>
        </w:rPr>
        <w:t>Ústní ověření</w:t>
      </w:r>
    </w:p>
    <w:p>
      <w:pPr>
        <w:pStyle w:val="P12"/>
        <w:framePr w:w="6710" w:h="376" w:hRule="exact" w:wrap="none" w:vAnchor="page" w:hAnchor="margin" w:x="45" w:y="10990"/>
        <w:rPr>
          <w:rStyle w:val="C3"/>
          <w:rtl w:val="0"/>
        </w:rPr>
      </w:pPr>
    </w:p>
    <w:p>
      <w:pPr>
        <w:pStyle w:val="P13"/>
        <w:framePr w:w="6658" w:h="249" w:hRule="exact" w:wrap="none" w:vAnchor="page" w:hAnchor="margin" w:x="71" w:y="11046"/>
        <w:rPr>
          <w:rStyle w:val="C11"/>
          <w:rtl w:val="0"/>
        </w:rPr>
      </w:pPr>
      <w:r>
        <w:rPr>
          <w:rStyle w:val="C11"/>
          <w:rtl w:val="0"/>
        </w:rPr>
        <w:t>e) Popsat používání OOPP při odběru vzorků</w:t>
      </w:r>
    </w:p>
    <w:p>
      <w:pPr>
        <w:pStyle w:val="P28"/>
        <w:framePr w:w="3921" w:h="376" w:hRule="exact" w:wrap="none" w:vAnchor="page" w:hAnchor="margin" w:x="6800" w:y="10990"/>
        <w:rPr>
          <w:rStyle w:val="C3"/>
          <w:rtl w:val="0"/>
        </w:rPr>
      </w:pPr>
    </w:p>
    <w:p>
      <w:pPr>
        <w:pStyle w:val="P29"/>
        <w:framePr w:w="3839" w:h="249" w:hRule="exact" w:wrap="none" w:vAnchor="page" w:hAnchor="margin" w:x="6856" w:y="11046"/>
        <w:rPr>
          <w:rStyle w:val="C21"/>
          <w:rtl w:val="0"/>
        </w:rPr>
      </w:pPr>
      <w:r>
        <w:rPr>
          <w:rStyle w:val="C21"/>
          <w:rtl w:val="0"/>
        </w:rPr>
        <w:t>Ústní ověření</w:t>
      </w:r>
    </w:p>
    <w:p>
      <w:pPr>
        <w:pStyle w:val="P32"/>
        <w:framePr w:w="10710" w:h="248" w:hRule="exact" w:wrap="none" w:vAnchor="page" w:hAnchor="margin" w:x="28" w:y="114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1.8.2026 7:28:13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představuje komplex činností zahrnujících orientaci v dokumentech potřebných pro oblast geochemických prací a interpretaci údajů v nich uvedených, sledování a posuzování hodnot a parametrů znečištěného území. Zkouška bude probíhat v učebně a na lokalitě s přístupem k vzorkování podzemní vody a horninového prostředí. Uchazeč během zkoušky musí mít přístup k veřejně dostupným právním předpisům a normám.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způsobem ověření „Praktické předvedení a ústní ověření“ se požaduje stručné slovní doplnění předvedené činnosti ve smyslu vysvětlení nebo obhajoby zvoleného postupu či řešení.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„Ústní ověření“ uchazeč může využít dobu přípravy na zkoušku k písemné přípravě pro ústní vyjádření.</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Provádění průzkumu znečištění horninového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autorizovaná osoba zadá údaje, u kritéria hodnocení c) autorizovaná osoba zadá vzorek a plán vzorkování a u kritéria hodnocení d) autorizovaná osoba zadá fyzikální veličiny a plán vzorkování, na jejichž základě uchazeč splní daná kritéria hodnocení.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Vyhodnocení koncentrací znečišťujících látek v horninovém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autorizovaná osoba zadá koncentrace, na základě kterých uchazeč splní dané kritérium. U odborné kompetence </w:t>
      </w:r>
      <w:r>
        <w:rPr>
          <w:rFonts w:ascii="Arial" w:cs="Arial" w:hAnsi="Arial" w:eastAsia="Arial"/>
          <w:b w:val="1"/>
          <w:i w:val="0"/>
          <w:caps w:val="0"/>
          <w:strike w:val="0"/>
          <w:noProof w:val="0"/>
          <w:vanish w:val="0"/>
          <w:color w:val="auto"/>
          <w:sz w:val="20"/>
          <w:u w:val="none"/>
          <w:shd w:val="clear" w:color="auto" w:fill="auto"/>
          <w:vertAlign w:val="baseline"/>
          <w:lang/>
        </w:rPr>
        <w:t>Posouzení vlivu znečišťujících látek v horninovém prostředí na životní prostředí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hodnocení b) autorizovaní osoba zadá dokumentaci a u kritérií hodnocení c) a d) autorizovaná osoba zadá prioritní kontaminanty, na jejichž základě uchazeč splní daná kritéria hodnocení. U odborné kompetence </w:t>
      </w:r>
      <w:r>
        <w:rPr>
          <w:rFonts w:ascii="Arial" w:cs="Arial" w:hAnsi="Arial" w:eastAsia="Arial"/>
          <w:b w:val="1"/>
          <w:i w:val="0"/>
          <w:caps w:val="0"/>
          <w:strike w:val="0"/>
          <w:noProof w:val="0"/>
          <w:vanish w:val="0"/>
          <w:color w:val="auto"/>
          <w:sz w:val="20"/>
          <w:u w:val="none"/>
          <w:shd w:val="clear" w:color="auto" w:fill="auto"/>
          <w:vertAlign w:val="baseline"/>
          <w:lang/>
        </w:rPr>
        <w:t>Navržení nápravných opatření k odstranění závadného stavu horninového prostředí</w:t>
      </w:r>
      <w:r>
        <w:rPr>
          <w:rFonts w:ascii="Arial" w:cs="Arial" w:hAnsi="Arial" w:eastAsia="Arial"/>
          <w:b w:val="0"/>
          <w:i w:val="0"/>
          <w:caps w:val="0"/>
          <w:strike w:val="0"/>
          <w:noProof w:val="0"/>
          <w:vanish w:val="0"/>
          <w:color w:val="auto"/>
          <w:sz w:val="20"/>
          <w:u w:val="none"/>
          <w:shd w:val="clear" w:color="auto" w:fill="auto"/>
          <w:vertAlign w:val="baseline"/>
          <w:lang/>
        </w:rPr>
        <w:t>, kritérium hodnocení c) autorizovaná osoba zadá dokumentaci, na základě které uchazeč splní dané kritérium.</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hodnocení uchazeče je rovněž posuzováno dodržování ekologických principů, bezpečné provádění všech pracovních úkonů a k dodržování zásad bezpečnosti práce a časové zvládání všech úkonů. </w:t>
      </w:r>
    </w:p>
    <w:p>
      <w:pPr>
        <w:keepNext w:val="0"/>
        <w:keepLines w:val="0"/>
        <w:framePr w:w="10766" w:h="9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69"/>
        <w:rPr>
          <w:rStyle w:val="C3"/>
          <w:rtl w:val="0"/>
        </w:rPr>
      </w:pPr>
    </w:p>
    <w:p>
      <w:pPr>
        <w:pStyle w:val="P35"/>
        <w:framePr w:w="10710" w:h="340" w:hRule="exact" w:wrap="none" w:vAnchor="page" w:hAnchor="margin" w:x="28" w:y="12469"/>
        <w:rPr>
          <w:rStyle w:val="C25"/>
          <w:rtl w:val="0"/>
        </w:rPr>
      </w:pPr>
      <w:r>
        <w:rPr>
          <w:rStyle w:val="C25"/>
          <w:rtl w:val="0"/>
        </w:rPr>
        <w:t>Výsledné hodnocení</w:t>
      </w:r>
    </w:p>
    <w:p>
      <w:pPr>
        <w:keepNext w:val="0"/>
        <w:keepLines w:val="0"/>
        <w:framePr w:w="10766" w:h="1497" w:hRule="exact" w:wrap="none" w:vAnchor="page" w:hAnchor="margin" w:x="0" w:y="12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33"/>
        <w:rPr>
          <w:rStyle w:val="C3"/>
          <w:rtl w:val="0"/>
        </w:rPr>
      </w:pPr>
    </w:p>
    <w:p>
      <w:pPr>
        <w:pStyle w:val="P35"/>
        <w:framePr w:w="10710" w:h="340" w:hRule="exact" w:wrap="none" w:vAnchor="page" w:hAnchor="margin" w:x="28" w:y="14533"/>
        <w:rPr>
          <w:rStyle w:val="C25"/>
          <w:rtl w:val="0"/>
        </w:rPr>
      </w:pPr>
      <w:r>
        <w:rPr>
          <w:rStyle w:val="C25"/>
          <w:rtl w:val="0"/>
        </w:rPr>
        <w:t>Počet zkoušejících</w:t>
      </w:r>
    </w:p>
    <w:p>
      <w:pPr>
        <w:keepNext w:val="0"/>
        <w:keepLines w:val="0"/>
        <w:framePr w:w="10766" w:h="1036" w:hRule="exact" w:wrap="none" w:vAnchor="page" w:hAnchor="margin" w:x="0" w:y="14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1.8.2026 7:28:13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chemie a alespoň 5 let odborné praxe v oblasti chemie nebo geologie nebo ve funkci učitele praktického vyučování nebo odborného výcviku v oblasti chemie.</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nebo geologie a alespoň 5 let odborné praxe v oblasti chemie nebo geologie nebo ve funkci učitele odborných předmětů nebo učitele praktického vyučování nebo odborné praxe v oblasti chemie.</w:t>
      </w:r>
    </w:p>
    <w:p>
      <w:pPr>
        <w:keepNext w:val="0"/>
        <w:keepLines w:val="1"/>
        <w:framePr w:w="10766" w:h="68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28-084-M Chemický technik / chemická technička – environmentální geochemik/geochemička a střední vzdělání s maturitní zkouškou a alespoň 5 let odborné praxe v oblasti chemie nebo geologie.</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1.8.2026 7:28:13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 přístupem na internet, s tiskárnou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Lokalita pro průzkum horninového prostředí</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normy v platném znění, v elektronické podobě nebo tištěné podobě v počtu 1 kus pro každého uchazeče o zkoušku (Metodický pokyn MŽP ČR pro průzkum kontaminovaného území; Metodický pokyn MŽP ČR Indikátory znečištění; Metodický pokyn MŽP ČR Analýza rizik kontaminovaného území; Vyhláška č. 369/2004 Sb., o projektování, provádění a vyhodnocování geologických prací, oznamování rizikových geofaktorů, ve znění platných předpisů; Metodika MŽP Zásady zpracování studie proveditelnosti opatření pro nápravu závadného stavu kontaminovaných lokalit; Metodický pokyn MŽP ČR Vzorkování v sanační geologii; Řada ČSN EN ISO 5667 Jakost vod - Odběr vzorků)</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ke zdroji podzemní vody (vrt, studna)</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Hladinoměr</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vrták pro odběr vzorků zemin</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Čerpadlo do vrtu s příslušenstvím</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redox potenciálu</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Hladinový odběrák s lankem pro odběr podzemních vod</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pro měření pH a konduktivity (případně dva přístroje pH metr a konduktometr), teploměr</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Vzorkovnice na přepravu matrice</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Modelová zpráva lokality se starou ekologickou zátěží</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54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odběru vzorků (odběrový formulář)</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66"/>
        <w:rPr>
          <w:rStyle w:val="C3"/>
          <w:rtl w:val="0"/>
        </w:rPr>
      </w:pPr>
    </w:p>
    <w:p>
      <w:pPr>
        <w:pStyle w:val="P35"/>
        <w:framePr w:w="10710" w:h="340" w:hRule="exact" w:wrap="none" w:vAnchor="page" w:hAnchor="margin" w:x="28" w:y="10266"/>
        <w:rPr>
          <w:rStyle w:val="C25"/>
          <w:rtl w:val="0"/>
        </w:rPr>
      </w:pPr>
      <w:r>
        <w:rPr>
          <w:rStyle w:val="C25"/>
          <w:rtl w:val="0"/>
        </w:rPr>
        <w:t>Doba přípravy na zkoušku</w:t>
      </w:r>
    </w:p>
    <w:p>
      <w:pPr>
        <w:keepNext w:val="0"/>
        <w:keepLines w:val="0"/>
        <w:framePr w:w="10766" w:h="806" w:hRule="exact" w:wrap="none" w:vAnchor="page" w:hAnchor="margin" w:x="0" w:y="10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639"/>
        <w:rPr>
          <w:rStyle w:val="C3"/>
          <w:rtl w:val="0"/>
        </w:rPr>
      </w:pPr>
    </w:p>
    <w:p>
      <w:pPr>
        <w:pStyle w:val="P35"/>
        <w:framePr w:w="10710" w:h="340" w:hRule="exact" w:wrap="none" w:vAnchor="page" w:hAnchor="margin" w:x="28" w:y="11639"/>
        <w:rPr>
          <w:rStyle w:val="C25"/>
          <w:rtl w:val="0"/>
        </w:rPr>
      </w:pPr>
      <w:r>
        <w:rPr>
          <w:rStyle w:val="C25"/>
          <w:rtl w:val="0"/>
        </w:rPr>
        <w:t>Doba pro vykonání zkoušky</w:t>
      </w:r>
    </w:p>
    <w:p>
      <w:pPr>
        <w:keepNext w:val="0"/>
        <w:keepLines w:val="0"/>
        <w:framePr w:w="10766" w:h="806" w:hRule="exact" w:wrap="none" w:vAnchor="page" w:hAnchor="margin" w:x="0" w:y="119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1.8.2026 7:28:13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GeoEko s. r. o.,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pStyle w:val="P21"/>
        <w:framePr w:w="7654" w:h="331" w:hRule="exact" w:wrap="none" w:vAnchor="page" w:hAnchor="margin" w:x="28" w:y="15940"/>
        <w:rPr>
          <w:rStyle w:val="C16"/>
          <w:rtl w:val="0"/>
        </w:rPr>
      </w:pPr>
      <w:r>
        <w:rPr>
          <w:rStyle w:val="C16"/>
          <w:rtl w:val="0"/>
        </w:rPr>
        <w:t>Chemický technik / chemická technička – environmentální geochemik/geochemička, 1.8.2026 7:28:13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70F365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879E01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C7862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