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0E391" Type="http://schemas.openxmlformats.org/officeDocument/2006/relationships/officeDocument" Target="/word/document.xml" /><Relationship Id="coreR40C0E391" Type="http://schemas.openxmlformats.org/package/2006/relationships/metadata/core-properties" Target="/docProps/core.xml" /><Relationship Id="customR40C0E3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Zkoušení a seřizování celků částí draku letadel podle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http://katalog.nsp.cz/karta_p.aspx?id_jp=111&amp;kod_sm1=37).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dbát, aby zkouška probíhala dle tohoto hodnoticího standardu a zadání úkolů ověřujících jednotlivé způsobilosti se co možno nejvíce blížilo potřebám praxe. 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draku patří: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•Oprava pevné části konstrukce letadla (trup, nosné plochy (křídlo), ocasní plochy (SOP, VOP), podvozek a soustava řízení)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•Nýtování – odvrtání nýtů, náhrada nýtů, nýtování klasické nebo trnovými nýty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•Vyrovnání poškozeného místa potahu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•Výměna pohyblivých částí draku – řídicí plochy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•Oprava, výměna přistávacího zařízení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•Oprava, výměna hydraulických a pneumatických systémů a mechanizací letadel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•Výměna oken, části interiéru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oprava poškozeného dílu draku letounu přesahuje oprávnění organizace, je nutné jejich předání k opravě specializovanému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leteckých výrobců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Ariete-group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letecká, Kunovice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0CAC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