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AC804" Type="http://schemas.openxmlformats.org/officeDocument/2006/relationships/officeDocument" Target="/word/document.xml" /><Relationship Id="coreR4A5AC804" Type="http://schemas.openxmlformats.org/package/2006/relationships/metadata/core-properties" Target="/docProps/core.xml" /><Relationship Id="customR4A5AC8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Zkoušení a seřizování celků částí draku letadel podle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http://katalog.nsp.cz/karta_p.aspx?id_jp=111&amp;kod_sm1=37).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dbát, aby zkouška probíhala dle tohoto hodnoticího standardu a zadání úkolů ověřujících jednotlivé způsobilosti se co možno nejvíce blížilo potřebám praxe. 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draku patří: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 pevné části konstrukce letadla (trup, nosné plochy (křídlo), ocasní plochy (SOP, VOP), podvozek a soustava řízení)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•Nýtování – odvrtání nýtů, náhrada nýtů, nýtování klasické nebo trnovými nýty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•Vyrovnání poškozeného místa potahu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pohyblivých částí draku – řídicí plochy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•Oprava, výměna přistávacího zařízení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•Oprava, výměna hydraulických a pneumatických systémů a mechanizací letadel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•Výměna oken, části interiéru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oprava poškozeného dílu draku letounu přesahuje oprávnění organizace, je nutné jejich předání k opravě specializovanému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leteckých výrobců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Ariete-group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letecká, Kunovice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28.9.2026 14:46:01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729B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