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A4983" Type="http://schemas.openxmlformats.org/officeDocument/2006/relationships/officeDocument" Target="/word/document.xml" /><Relationship Id="coreR789A4983" Type="http://schemas.openxmlformats.org/package/2006/relationships/metadata/core-properties" Target="/docProps/core.xml" /><Relationship Id="customR789A49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20.10.2026 10:24:05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na ruční vyšívání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vyšívač/vyšívačka, 20.10.2026 10:24:05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postupy oprav a údržby 5 předložených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vyšívač/vyšívačka, 20.10.2026 10:24:05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vyšívač/vyšívačka, 20.10.2026 10:24:05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výšivku a alespoň 5 let odborné praxe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výšivku nebo ve funkci učitele praktického vyučování nebo odborného výcviku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 Ruční vyšívač/vyšívačka + střední vzdělání s maturitní zkouškou a alespoň 5 let odborné praxe v oblasti textilní tvorby nebo výroby se specifikací na ruční výšivku.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vyšívač/vyšívačka, 20.10.2026 10:24:05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 Nástroje a půmůcky nutné pro zdárné vykonání zkoušky: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Židle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Navlékače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 na vyšívání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Podkladový materiál</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přípravy na zkoušku</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Doba pro vykonání zkoušky</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16 až 20 hodin (hodinou se rozumí 60 minut). </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Ruční vyšívač/vyšívačka, 20.10.2026 10:24:05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20.10.2026 10:24:05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080B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7E7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FCAD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