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51BD61" Type="http://schemas.openxmlformats.org/officeDocument/2006/relationships/officeDocument" Target="/word/document.xml" /><Relationship Id="coreR2751BD61" Type="http://schemas.openxmlformats.org/package/2006/relationships/metadata/core-properties" Target="/docProps/core.xml" /><Relationship Id="customR2751BD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krajkářka/krajkář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krajkářka/krajkář a alespoň 5 let odborné praxe v oblasti textilní tvorby nebo výroby se specifikací na ruční krajku.</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krajkářka/krajkář, 30.9.2026 7:39:13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8510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7A3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