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0B344" Type="http://schemas.openxmlformats.org/officeDocument/2006/relationships/officeDocument" Target="/word/document.xml" /><Relationship Id="coreR5960B344" Type="http://schemas.openxmlformats.org/package/2006/relationships/metadata/core-properties" Target="/docProps/core.xml" /><Relationship Id="customR5960B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skleněného polotovaru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Broušení výrobků ze skla na hladině, kritérium c) autorizovaná osoba určí uchazeči počet kusů skleněných výrobků k opracování</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minimálním počtu 5 kusů a maximálním počtu 10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která je vybavena pomůckami k čištění výrobků, hladinářské a kuličské stroje, příslušné brousicí a lešticí kotouče a pomůcky k jejich úpravě, točnou a volným brusivem a leštidlem v široké škále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hladinář, 30.9.2026 3:52:17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D0E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541D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3566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