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44EBC1" Type="http://schemas.openxmlformats.org/officeDocument/2006/relationships/officeDocument" Target="/word/document.xml" /><Relationship Id="coreR7344EBC1" Type="http://schemas.openxmlformats.org/package/2006/relationships/metadata/core-properties" Target="/docProps/core.xml" /><Relationship Id="customR7344EB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pískování skla (kód: 28-078-H)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pískování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pískování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pískovaného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Pískování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pískování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pískování skla,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http://katalog.nsp.cz/karta_p.aspx?id_jp=77&amp;kod_sm1=35).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Pískování výrobků ze skla, kritérium d) autorizovaná osoba určí uchazeči počet kusů skleněných výrobků k opracování (série alespoň 10 kusů).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provozech pískování skla. U kompetence Seřizování, ošetřování, údržba a obsluha strojů, nástrojů a pomůcek pro pískování skla, kritérium a) autorizovaná osoba určí pracovní operaci u které uchazeč provede seřízení pracovních nástrojů.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pískování skla,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 – Bohemia, a. s., Poděbrady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Egermann, s. r. o.,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TGK – technika, sklo a umění,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a Střední odborná škola,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pískování skla, 2.10.2026 3:51:09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