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2164FC" Type="http://schemas.openxmlformats.org/officeDocument/2006/relationships/officeDocument" Target="/word/document.xml" /><Relationship Id="coreR152164FC" Type="http://schemas.openxmlformats.org/package/2006/relationships/metadata/core-properties" Target="/docProps/core.xml" /><Relationship Id="customR152164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pískování skla (kód: 28-078-H)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Brusič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pískování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pro pískování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a posuzování vzhledu a povrchu pískovaného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Pískování výrobků ze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ošetřování, údržba a obsluha strojů, nástrojů a pomůcek pro pískování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pískování skla, 11.9.2026 22:27:54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https://www.nsp.cz/jednotka-prace/brusic-skla#zdravotni-zpusobilost).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kompetence je třeba získat celkový přehled o způsobilosti uchazeče vykonávat pracovní činnosti v provozech pískování skla. 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ošetřování, údržba a obsluha strojů, nástrojů a pomůcek pro pískování skla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autorizovaná osoba určí pracovní operaci, u které uchazeč provede seřízení pracovních nástrojů.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 Ověřování odborných kompetencí bude probíhat v reálném provozu sklářské výroby.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pískování skla, 11.9.2026 22:27:54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Glassshool,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firma Pačinek Glass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pískování skla, 11.9.2026 22:27:54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