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8B09E0" Type="http://schemas.openxmlformats.org/officeDocument/2006/relationships/officeDocument" Target="/word/document.xml" /><Relationship Id="coreR498B09E0" Type="http://schemas.openxmlformats.org/package/2006/relationships/metadata/core-properties" Target="/docProps/core.xml" /><Relationship Id="customR498B09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dopravní stavby (kód: 36-132-M)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dálnic, silnic a místních komunikací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 a zemních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pozemních komunikací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vozovek a chodníků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Projektování křižovatek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bezpečnostních zařízení a jiných opatření silnic a dálnic, způsoby odvodňování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železnic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Projektování železničních drah a tramvajových tratí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železničního spodku a železničního svršku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dopravní stavby, 7.5.2026 18:14:32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realizaci zkoušky: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dopravní stavby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nevede k autorizaci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smyslu zákona č. 360/1992 Sb.,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maturitou nebo vyšší odborné vzdělání v příbuzném oboru vzdělání v oblasti stavebnictví.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je harmonizován s RVP pro obor vzdělání 36-47-M/01 stavebnictví - zaměření dopravní stavby.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 HS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dopravní stavby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dopravní stavby, 7.5.2026 18:14:32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v Praze, Fakulta architektury a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dopravní stavby, 7.5.2026 18:14:32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