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6FFA06" Type="http://schemas.openxmlformats.org/officeDocument/2006/relationships/officeDocument" Target="/word/document.xml" /><Relationship Id="coreR586FFA06" Type="http://schemas.openxmlformats.org/package/2006/relationships/metadata/core-properties" Target="/docProps/core.xml" /><Relationship Id="customR586FFA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využití vodní energie a navrhování hydrotechnických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melioračních staveb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staveb a zařízení pro nakládání s odpady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staveb jezů a ochranných hrází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přehrad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plavebních komor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jímacích zařízení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čistíren odpadních vod</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výkon podnikatelské činnosti</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Písemné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s ústním vysvětlením</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Orientace ve využití vodní energie a navrhování hydrotechnických staveb</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Vysvětlit postupy předprojektové přípravy výstavby hydrotechnických staveb</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b) Popsat využití vodní energie, výběr a vyhodnocení lokality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d) Popsat základní typy vodních turbín</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Písemné a 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Popsat rozdělení základových půd</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Uvést metody zpevňování základových půd</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Písemné a 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způsoby provádění výkopových prací a pažení</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Písemné a 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požadavky na bezpečnost při provádění zemních prací</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Písemné a 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Navrhnout postup provádění plošných a hlubinných základů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a ústní ověření</w:t>
      </w:r>
    </w:p>
    <w:p>
      <w:pPr>
        <w:pStyle w:val="P32"/>
        <w:framePr w:w="10710" w:h="248" w:hRule="exact" w:wrap="none" w:vAnchor="page" w:hAnchor="margin" w:x="28" w:y="13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požadavky na protipovodňová opatření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návrhu staveb protipovodňové ochrany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způsob provedení mobilních protipovodňových bariér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a popsat způsob provedení suchých poldrů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závady staveb protipovodňové ochrany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a zásady provádění vodovodních sítí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a vysvětlit výpočet spotřeby vody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zdroje pitné vody a systémy její úpravy</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a 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Uvést způsoby akumulace a dopravy vody</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a 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Uvést klasické a novodobé materiály pro vodovodní sítě</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a ústní ověření</w:t>
      </w:r>
    </w:p>
    <w:p>
      <w:pPr>
        <w:pStyle w:val="P12"/>
        <w:framePr w:w="6710" w:h="607" w:hRule="exact" w:wrap="none" w:vAnchor="page" w:hAnchor="margin" w:x="45" w:y="7720"/>
        <w:rPr>
          <w:rStyle w:val="C3"/>
          <w:rtl w:val="0"/>
        </w:rPr>
      </w:pPr>
    </w:p>
    <w:p>
      <w:pPr>
        <w:pStyle w:val="P13"/>
        <w:framePr w:w="6658" w:h="480" w:hRule="exact" w:wrap="none" w:vAnchor="page" w:hAnchor="margin" w:x="71" w:y="7776"/>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7720"/>
        <w:rPr>
          <w:rStyle w:val="C3"/>
          <w:rtl w:val="0"/>
        </w:rPr>
      </w:pPr>
    </w:p>
    <w:p>
      <w:pPr>
        <w:pStyle w:val="P29"/>
        <w:framePr w:w="3839" w:h="480" w:hRule="exact" w:wrap="none" w:vAnchor="page" w:hAnchor="margin" w:x="6856" w:y="7776"/>
        <w:rPr>
          <w:rStyle w:val="C21"/>
          <w:rtl w:val="0"/>
        </w:rPr>
      </w:pPr>
      <w:r>
        <w:rPr>
          <w:rStyle w:val="C21"/>
          <w:rtl w:val="0"/>
        </w:rPr>
        <w:t>Písemné a ústní ověření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f) Provést a vysvětlit návrh vodovodní sítě se zadanými parametry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Navrhování a zásady provádění kanalizačních sítí</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Popsat a vysvětlit zásady konstrukčního návrhu kanalizační sítě</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Písemné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Písemné a ústní ověření</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Písemné a ústní ověření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d) Popsat používané trubní materiály pro kanalizační sítě</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Písemné a ústní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e) Popsat objekty na kanalizační síti</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Písemné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f) Určit parametry kanalizační sítě dle zadání</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s ústním vysvětlením</w:t>
      </w:r>
    </w:p>
    <w:p>
      <w:pPr>
        <w:pStyle w:val="P32"/>
        <w:framePr w:w="10710" w:h="248" w:hRule="exact" w:wrap="none" w:vAnchor="page" w:hAnchor="margin" w:x="28" w:y="129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melioračních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materiály, konstrukce a technologie pro odvodňovací stavby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materiály, konstrukce a technologie pro stavby protierozní ochrany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Navrhnout jednoduchou meliorační síť podle zadání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 s ústním vysvětlením</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Navrhování a zásady provádění staveb a zařízení pro nakládání s odpady</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Popsat úlohu státní správy při nakládání s odpady</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Písemné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Popsat možnost skládkování odpadů</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Písemné a ústní ověření</w:t>
      </w:r>
    </w:p>
    <w:p>
      <w:pPr>
        <w:pStyle w:val="P16"/>
        <w:framePr w:w="6710" w:h="607" w:hRule="exact" w:wrap="none" w:vAnchor="page" w:hAnchor="margin" w:x="45" w:y="9857"/>
        <w:rPr>
          <w:rStyle w:val="C3"/>
          <w:rtl w:val="0"/>
        </w:rPr>
      </w:pPr>
    </w:p>
    <w:p>
      <w:pPr>
        <w:pStyle w:val="P17"/>
        <w:framePr w:w="6658" w:h="480" w:hRule="exact" w:wrap="none" w:vAnchor="page" w:hAnchor="margin" w:x="71" w:y="9913"/>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9857"/>
        <w:rPr>
          <w:rStyle w:val="C3"/>
          <w:rtl w:val="0"/>
        </w:rPr>
      </w:pPr>
    </w:p>
    <w:p>
      <w:pPr>
        <w:pStyle w:val="P31"/>
        <w:framePr w:w="3839" w:h="480" w:hRule="exact" w:wrap="none" w:vAnchor="page" w:hAnchor="margin" w:x="6856" w:y="9913"/>
        <w:rPr>
          <w:rStyle w:val="C22"/>
          <w:rtl w:val="0"/>
        </w:rPr>
      </w:pPr>
      <w:r>
        <w:rPr>
          <w:rStyle w:val="C22"/>
          <w:rtl w:val="0"/>
        </w:rPr>
        <w:t>Písemné a 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e) Popsat zásady výstavby uzavřených skládek</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Písemné a ústní ověření</w:t>
      </w:r>
    </w:p>
    <w:p>
      <w:pPr>
        <w:pStyle w:val="P16"/>
        <w:framePr w:w="6710" w:h="376" w:hRule="exact" w:wrap="none" w:vAnchor="page" w:hAnchor="margin" w:x="45" w:y="10840"/>
        <w:rPr>
          <w:rStyle w:val="C3"/>
          <w:rtl w:val="0"/>
        </w:rPr>
      </w:pPr>
    </w:p>
    <w:p>
      <w:pPr>
        <w:pStyle w:val="P17"/>
        <w:framePr w:w="6658" w:h="249" w:hRule="exact" w:wrap="none" w:vAnchor="page" w:hAnchor="margin" w:x="71" w:y="10896"/>
        <w:rPr>
          <w:rStyle w:val="C13"/>
          <w:rtl w:val="0"/>
        </w:rPr>
      </w:pPr>
      <w:r>
        <w:rPr>
          <w:rStyle w:val="C13"/>
          <w:rtl w:val="0"/>
        </w:rPr>
        <w:t>f) Popsat zásady manipulace s nebezpečnými odpady</w:t>
      </w:r>
    </w:p>
    <w:p>
      <w:pPr>
        <w:pStyle w:val="P30"/>
        <w:framePr w:w="3921" w:h="376" w:hRule="exact" w:wrap="none" w:vAnchor="page" w:hAnchor="margin" w:x="6800" w:y="10840"/>
        <w:rPr>
          <w:rStyle w:val="C3"/>
          <w:rtl w:val="0"/>
        </w:rPr>
      </w:pPr>
    </w:p>
    <w:p>
      <w:pPr>
        <w:pStyle w:val="P31"/>
        <w:framePr w:w="3839" w:h="249" w:hRule="exact" w:wrap="none" w:vAnchor="page" w:hAnchor="margin" w:x="6856" w:y="10896"/>
        <w:rPr>
          <w:rStyle w:val="C22"/>
          <w:rtl w:val="0"/>
        </w:rPr>
      </w:pPr>
      <w:r>
        <w:rPr>
          <w:rStyle w:val="C22"/>
          <w:rtl w:val="0"/>
        </w:rPr>
        <w:t>Písemné a ústní ověření</w:t>
      </w:r>
    </w:p>
    <w:p>
      <w:pPr>
        <w:pStyle w:val="P12"/>
        <w:framePr w:w="6710" w:h="376" w:hRule="exact" w:wrap="none" w:vAnchor="page" w:hAnchor="margin" w:x="45" w:y="11216"/>
        <w:rPr>
          <w:rStyle w:val="C3"/>
          <w:rtl w:val="0"/>
        </w:rPr>
      </w:pPr>
    </w:p>
    <w:p>
      <w:pPr>
        <w:pStyle w:val="P13"/>
        <w:framePr w:w="6658" w:h="249" w:hRule="exact" w:wrap="none" w:vAnchor="page" w:hAnchor="margin" w:x="71" w:y="11272"/>
        <w:rPr>
          <w:rStyle w:val="C11"/>
          <w:rtl w:val="0"/>
        </w:rPr>
      </w:pPr>
      <w:r>
        <w:rPr>
          <w:rStyle w:val="C11"/>
          <w:rtl w:val="0"/>
        </w:rPr>
        <w:t>g) Uvést způsoby využití recyklovaného materiálu</w:t>
      </w:r>
    </w:p>
    <w:p>
      <w:pPr>
        <w:pStyle w:val="P28"/>
        <w:framePr w:w="3921" w:h="376" w:hRule="exact" w:wrap="none" w:vAnchor="page" w:hAnchor="margin" w:x="6800" w:y="11216"/>
        <w:rPr>
          <w:rStyle w:val="C3"/>
          <w:rtl w:val="0"/>
        </w:rPr>
      </w:pPr>
    </w:p>
    <w:p>
      <w:pPr>
        <w:pStyle w:val="P29"/>
        <w:framePr w:w="3839" w:h="249" w:hRule="exact" w:wrap="none" w:vAnchor="page" w:hAnchor="margin" w:x="6856" w:y="11272"/>
        <w:rPr>
          <w:rStyle w:val="C21"/>
          <w:rtl w:val="0"/>
        </w:rPr>
      </w:pPr>
      <w:r>
        <w:rPr>
          <w:rStyle w:val="C21"/>
          <w:rtl w:val="0"/>
        </w:rPr>
        <w:t>Písemné a ústní ověření</w:t>
      </w:r>
    </w:p>
    <w:p>
      <w:pPr>
        <w:pStyle w:val="P16"/>
        <w:framePr w:w="6710" w:h="376" w:hRule="exact" w:wrap="none" w:vAnchor="page" w:hAnchor="margin" w:x="45" w:y="11592"/>
        <w:rPr>
          <w:rStyle w:val="C3"/>
          <w:rtl w:val="0"/>
        </w:rPr>
      </w:pPr>
    </w:p>
    <w:p>
      <w:pPr>
        <w:pStyle w:val="P17"/>
        <w:framePr w:w="6658" w:h="249" w:hRule="exact" w:wrap="none" w:vAnchor="page" w:hAnchor="margin" w:x="71" w:y="11648"/>
        <w:rPr>
          <w:rStyle w:val="C13"/>
          <w:rtl w:val="0"/>
        </w:rPr>
      </w:pPr>
      <w:r>
        <w:rPr>
          <w:rStyle w:val="C13"/>
          <w:rtl w:val="0"/>
        </w:rPr>
        <w:t>h) Navrhnout recyklační linku na využití stavebního odpadu</w:t>
      </w:r>
    </w:p>
    <w:p>
      <w:pPr>
        <w:pStyle w:val="P30"/>
        <w:framePr w:w="3921" w:h="376" w:hRule="exact" w:wrap="none" w:vAnchor="page" w:hAnchor="margin" w:x="6800" w:y="11592"/>
        <w:rPr>
          <w:rStyle w:val="C3"/>
          <w:rtl w:val="0"/>
        </w:rPr>
      </w:pPr>
    </w:p>
    <w:p>
      <w:pPr>
        <w:pStyle w:val="P31"/>
        <w:framePr w:w="3839" w:h="249" w:hRule="exact" w:wrap="none" w:vAnchor="page" w:hAnchor="margin" w:x="6856" w:y="11648"/>
        <w:rPr>
          <w:rStyle w:val="C22"/>
          <w:rtl w:val="0"/>
        </w:rPr>
      </w:pPr>
      <w:r>
        <w:rPr>
          <w:rStyle w:val="C22"/>
          <w:rtl w:val="0"/>
        </w:rPr>
        <w:t>Praktické předvedení s ústním vysvětlením</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i) Navrhnout uspořádání sběrného dvora obce</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Praktické předvedení s ústním vysvětlením</w:t>
      </w:r>
    </w:p>
    <w:p>
      <w:pPr>
        <w:pStyle w:val="P16"/>
        <w:framePr w:w="6710" w:h="376" w:hRule="exact" w:wrap="none" w:vAnchor="page" w:hAnchor="margin" w:x="45" w:y="12345"/>
        <w:rPr>
          <w:rStyle w:val="C3"/>
          <w:rtl w:val="0"/>
        </w:rPr>
      </w:pPr>
    </w:p>
    <w:p>
      <w:pPr>
        <w:pStyle w:val="P17"/>
        <w:framePr w:w="6658" w:h="249" w:hRule="exact" w:wrap="none" w:vAnchor="page" w:hAnchor="margin" w:x="71" w:y="12401"/>
        <w:rPr>
          <w:rStyle w:val="C13"/>
          <w:rtl w:val="0"/>
        </w:rPr>
      </w:pPr>
      <w:r>
        <w:rPr>
          <w:rStyle w:val="C13"/>
          <w:rtl w:val="0"/>
        </w:rPr>
        <w:t>j) Uvést zásady návrhu a výstavby odkališť</w:t>
      </w:r>
    </w:p>
    <w:p>
      <w:pPr>
        <w:pStyle w:val="P30"/>
        <w:framePr w:w="3921" w:h="376" w:hRule="exact" w:wrap="none" w:vAnchor="page" w:hAnchor="margin" w:x="6800" w:y="12345"/>
        <w:rPr>
          <w:rStyle w:val="C3"/>
          <w:rtl w:val="0"/>
        </w:rPr>
      </w:pPr>
    </w:p>
    <w:p>
      <w:pPr>
        <w:pStyle w:val="P31"/>
        <w:framePr w:w="3839" w:h="249" w:hRule="exact" w:wrap="none" w:vAnchor="page" w:hAnchor="margin" w:x="6856" w:y="12401"/>
        <w:rPr>
          <w:rStyle w:val="C22"/>
          <w:rtl w:val="0"/>
        </w:rPr>
      </w:pPr>
      <w:r>
        <w:rPr>
          <w:rStyle w:val="C22"/>
          <w:rtl w:val="0"/>
        </w:rPr>
        <w:t>Písemné a ústní ověření</w:t>
      </w:r>
    </w:p>
    <w:p>
      <w:pPr>
        <w:pStyle w:val="P12"/>
        <w:framePr w:w="6710" w:h="376" w:hRule="exact" w:wrap="none" w:vAnchor="page" w:hAnchor="margin" w:x="45" w:y="12721"/>
        <w:rPr>
          <w:rStyle w:val="C3"/>
          <w:rtl w:val="0"/>
        </w:rPr>
      </w:pPr>
    </w:p>
    <w:p>
      <w:pPr>
        <w:pStyle w:val="P13"/>
        <w:framePr w:w="6658" w:h="249" w:hRule="exact" w:wrap="none" w:vAnchor="page" w:hAnchor="margin" w:x="71" w:y="12777"/>
        <w:rPr>
          <w:rStyle w:val="C11"/>
          <w:rtl w:val="0"/>
        </w:rPr>
      </w:pPr>
      <w:r>
        <w:rPr>
          <w:rStyle w:val="C11"/>
          <w:rtl w:val="0"/>
        </w:rPr>
        <w:t>k) Uvést zásady návrhu a výstavby bioplynových stanic</w:t>
      </w:r>
    </w:p>
    <w:p>
      <w:pPr>
        <w:pStyle w:val="P28"/>
        <w:framePr w:w="3921" w:h="376" w:hRule="exact" w:wrap="none" w:vAnchor="page" w:hAnchor="margin" w:x="6800" w:y="12721"/>
        <w:rPr>
          <w:rStyle w:val="C3"/>
          <w:rtl w:val="0"/>
        </w:rPr>
      </w:pPr>
    </w:p>
    <w:p>
      <w:pPr>
        <w:pStyle w:val="P29"/>
        <w:framePr w:w="3839" w:h="249" w:hRule="exact" w:wrap="none" w:vAnchor="page" w:hAnchor="margin" w:x="6856" w:y="12777"/>
        <w:rPr>
          <w:rStyle w:val="C21"/>
          <w:rtl w:val="0"/>
        </w:rPr>
      </w:pPr>
      <w:r>
        <w:rPr>
          <w:rStyle w:val="C21"/>
          <w:rtl w:val="0"/>
        </w:rPr>
        <w:t>Písemné a ústní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Písemné a ústní ověření</w:t>
      </w:r>
    </w:p>
    <w:p>
      <w:pPr>
        <w:pStyle w:val="P32"/>
        <w:framePr w:w="10710" w:h="248" w:hRule="exact" w:wrap="none" w:vAnchor="page" w:hAnchor="margin" w:x="28" w:y="13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přehrad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druhy těsnění zemních přehrad, včetně těsnění podloží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funkci tížných a klenbových přehrad z kamene a z betonu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a 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plavebních komor</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jednostupňové a vícestupňové plavební komory</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Popsat velikost a tvar plavebních komor</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a 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Vysvětlit možnosti plnění a vyprazdňování plavebních komor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Písemné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Popsat rejdy plavebních komor</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Písemné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jímacích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vodojemů a jejich umístění vzhledem ke spotřebišti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vodojemů a metody výpočtu jejich objemu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Vypočítat objem zadaného vodojemu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konstrukci vodojemů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způsob stanovení potřeby pitné vody a druhy jímacích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Navrhování čistíren odpadních vod</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návrh čistíren odpadních vod a vysvětlit stupně čištění</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Popsat funkci kalového hospodářství</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a ústní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Písemné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Praktické předvedení s ústním vysvětlením</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Orientace v právních předpisech pro výkon podnikatelské činnosti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Vysvětlit požadavky na vedení technické a provozní dokumentace</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Vysvětlit požadavky na vedení stavebního deníku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Písemné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Vysvětlit úlohu koordinátora bezpečnosti práce na staveništi</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Písemné a ústní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e) Uvést zákonné požadavky na uzavírané smlouvy o dílo a vyřizování reklamací</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Písemné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Uvést zásady vedení zaměstnanců a způsoby jejich odměňování</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příbuzném oboru vzdělání v oblasti stavebnictví.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harmonizován s RVP pro obor vzdělání 36-47-M/01 stavebnictví - zaměření vodohospodářské stavby.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stavby vodního hospodářství a krajinného inženýrství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 alespoň 5 let odborné praxe v projektování nebo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nebo v řídicích činnostech v oblasti stavební výroby nebo ve funkci učitele odborných předmětů se zaměřením na vodní hospodářství a krajinné inženýrství, z toho minimálně jeden rok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má k dispozici dále uvedené vybavení: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a ochranu zdraví při práci na staveništích; občanský zákoník; zákoník práce ve znění pozdějších předpisů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42"/>
        <w:rPr>
          <w:rStyle w:val="C3"/>
          <w:rtl w:val="0"/>
        </w:rPr>
      </w:pPr>
    </w:p>
    <w:p>
      <w:pPr>
        <w:pStyle w:val="P35"/>
        <w:framePr w:w="10710" w:h="340" w:hRule="exact" w:wrap="none" w:vAnchor="page" w:hAnchor="margin" w:x="28" w:y="10742"/>
        <w:rPr>
          <w:rStyle w:val="C25"/>
          <w:rtl w:val="0"/>
        </w:rPr>
      </w:pPr>
      <w:r>
        <w:rPr>
          <w:rStyle w:val="C25"/>
          <w:rtl w:val="0"/>
        </w:rPr>
        <w:t>Doba přípravy na zkoušku</w:t>
      </w:r>
    </w:p>
    <w:p>
      <w:pPr>
        <w:keepNext w:val="0"/>
        <w:keepLines w:val="0"/>
        <w:framePr w:w="10766" w:h="1036" w:hRule="exact" w:wrap="none" w:vAnchor="page" w:hAnchor="margin" w:x="0" w:y="11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45"/>
        <w:rPr>
          <w:rStyle w:val="C3"/>
          <w:rtl w:val="0"/>
        </w:rPr>
      </w:pPr>
    </w:p>
    <w:p>
      <w:pPr>
        <w:pStyle w:val="P35"/>
        <w:framePr w:w="10710" w:h="340" w:hRule="exact" w:wrap="none" w:vAnchor="page" w:hAnchor="margin" w:x="28" w:y="12345"/>
        <w:rPr>
          <w:rStyle w:val="C25"/>
          <w:rtl w:val="0"/>
        </w:rPr>
      </w:pPr>
      <w:r>
        <w:rPr>
          <w:rStyle w:val="C25"/>
          <w:rtl w:val="0"/>
        </w:rPr>
        <w:t>Doba pro vykonání zkoušky</w:t>
      </w:r>
    </w:p>
    <w:p>
      <w:pPr>
        <w:keepNext w:val="0"/>
        <w:keepLines w:val="0"/>
        <w:framePr w:w="10766" w:h="806" w:hRule="exact" w:wrap="none" w:vAnchor="page" w:hAnchor="margin" w:x="0" w:y="12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architektury a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stavby vodního hospodářství a krajinného inženýrství, 20.10.2026 12:56:23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6346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ED1EE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