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6D8EB" Type="http://schemas.openxmlformats.org/officeDocument/2006/relationships/officeDocument" Target="/word/document.xml" /><Relationship Id="coreR6F16D8EB" Type="http://schemas.openxmlformats.org/package/2006/relationships/metadata/core-properties" Target="/docProps/core.xml" /><Relationship Id="customR6F16D8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staveb vodního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jezů a ochranných hrází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staveb a zařízení pro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30.9.2026 5:50:14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zkoušek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•Čtení ve výkresech a zpracování projektové dokumentace, kritéria a) a f),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•Využívání informačních a komunikačních technologií, kritéria a) a b),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konstrukcí a konstrukčních částí staveb vodního hospodářství, kritéria b), c), d), f) a g), (minimum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•Orientace ve využití vodní energie a navrhování hydrotechnických staveb, kritérium e), (minimálně 5 úkolů) 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terénních úprav, zemních prací a zakládání staveb, kritéria c) a d),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protipovodňových opatření, ochranných hrází, kritéria c) a d),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vodovodních sítí, kritérium f),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kanalizačních sítí, kritérium f),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melioračních staveb, kritéria g), h),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staveb jezů a ochranných hrází, kritérium e),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staveb a zařízení pro nakládání s odpady, kritéria h) a i),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staveb přehrad,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plavebních komor,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•Navrhování jímacích zařízení, kritérium c), (minimálně 5 úkolů) 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čistíren odpadních vod,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•Orientace v právních předpisech pro výkon podnikatelské činnosti, kritérium d), (minimálně 5 úkolů)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30.9.2026 5:50:14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30.9.2026 5:50:14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6881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