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8638" Type="http://schemas.openxmlformats.org/officeDocument/2006/relationships/officeDocument" Target="/word/document.xml" /><Relationship Id="coreR1AA8638" Type="http://schemas.openxmlformats.org/package/2006/relationships/metadata/core-properties" Target="/docProps/core.xml" /><Relationship Id="customR1AA86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zkoušek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•Čtení ve výkresech a zpracování projektové dokumentace, kritéria a) a f),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•Využívání informačních a komunikačních technologií, kritéria a) a b),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konstrukcí a konstrukčních částí staveb vodního hospodářství, kritéria b), c), d), f) a g), (minimum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ve využití vodní energie a navrhování hydrotechnických staveb, kritérium e),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terénních úprav, zemních prací a zakládání staveb,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protipovodňových opatření, ochranných hrází,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vodovodních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kanalizačních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melioračních staveb, kritéria g), h),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jezů a ochranných hrází, kritérium e),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a zařízení pro nakládání s odpady, kritéria h) a i),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přehrad,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plavebních komor,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•Navrhování jímacích zařízení, kritérium c),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čistíren odpadních vod,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právních předpisech pro výkon podnikatelské činnosti, kritérium d), (minimálně 5 úkolů)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E76D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