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1B8E7" Type="http://schemas.openxmlformats.org/officeDocument/2006/relationships/officeDocument" Target="/word/document.xml" /><Relationship Id="coreR3AD1B8E7" Type="http://schemas.openxmlformats.org/package/2006/relationships/metadata/core-properties" Target="/docProps/core.xml" /><Relationship Id="customR3AD1B8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Navrhování a zásady provádění systémů vytápění a zásobování teplem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a ústní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e) Popsat systémy elektrického vytápění</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a ústní ověření</w:t>
      </w:r>
    </w:p>
    <w:p>
      <w:pPr>
        <w:pStyle w:val="P16"/>
        <w:framePr w:w="6710" w:h="376" w:hRule="exact" w:wrap="none" w:vAnchor="page" w:hAnchor="margin" w:x="45" w:y="8909"/>
        <w:rPr>
          <w:rStyle w:val="C3"/>
          <w:rtl w:val="0"/>
        </w:rPr>
      </w:pPr>
    </w:p>
    <w:p>
      <w:pPr>
        <w:pStyle w:val="P17"/>
        <w:framePr w:w="6658" w:h="249" w:hRule="exact" w:wrap="none" w:vAnchor="page" w:hAnchor="margin" w:x="71" w:y="8965"/>
        <w:rPr>
          <w:rStyle w:val="C13"/>
          <w:rtl w:val="0"/>
        </w:rPr>
      </w:pPr>
      <w:r>
        <w:rPr>
          <w:rStyle w:val="C13"/>
          <w:rtl w:val="0"/>
        </w:rPr>
        <w:t>f) Popsat alternativní zdroje</w:t>
      </w:r>
    </w:p>
    <w:p>
      <w:pPr>
        <w:pStyle w:val="P30"/>
        <w:framePr w:w="3921" w:h="376" w:hRule="exact" w:wrap="none" w:vAnchor="page" w:hAnchor="margin" w:x="6800" w:y="8909"/>
        <w:rPr>
          <w:rStyle w:val="C3"/>
          <w:rtl w:val="0"/>
        </w:rPr>
      </w:pPr>
    </w:p>
    <w:p>
      <w:pPr>
        <w:pStyle w:val="P31"/>
        <w:framePr w:w="3839" w:h="249" w:hRule="exact" w:wrap="none" w:vAnchor="page" w:hAnchor="margin" w:x="6856" w:y="8965"/>
        <w:rPr>
          <w:rStyle w:val="C22"/>
          <w:rtl w:val="0"/>
        </w:rPr>
      </w:pPr>
      <w:r>
        <w:rPr>
          <w:rStyle w:val="C22"/>
          <w:rtl w:val="0"/>
        </w:rPr>
        <w:t>Písemné a ústní ověření</w:t>
      </w:r>
    </w:p>
    <w:p>
      <w:pPr>
        <w:pStyle w:val="P12"/>
        <w:framePr w:w="6710" w:h="831" w:hRule="exact" w:wrap="none" w:vAnchor="page" w:hAnchor="margin" w:x="45" w:y="9285"/>
        <w:rPr>
          <w:rStyle w:val="C3"/>
          <w:rtl w:val="0"/>
        </w:rPr>
      </w:pPr>
    </w:p>
    <w:p>
      <w:pPr>
        <w:pStyle w:val="P13"/>
        <w:framePr w:w="6658" w:h="704" w:hRule="exact" w:wrap="none" w:vAnchor="page" w:hAnchor="margin" w:x="71" w:y="9341"/>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285"/>
        <w:rPr>
          <w:rStyle w:val="C3"/>
          <w:rtl w:val="0"/>
        </w:rPr>
      </w:pPr>
    </w:p>
    <w:p>
      <w:pPr>
        <w:pStyle w:val="P29"/>
        <w:framePr w:w="3839" w:h="704" w:hRule="exact" w:wrap="none" w:vAnchor="page" w:hAnchor="margin" w:x="6856" w:y="9341"/>
        <w:rPr>
          <w:rStyle w:val="C21"/>
          <w:rtl w:val="0"/>
        </w:rPr>
      </w:pPr>
      <w:r>
        <w:rPr>
          <w:rStyle w:val="C21"/>
          <w:rtl w:val="0"/>
        </w:rPr>
        <w:t>Písemné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Písemné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i) Popsat centralizované systémy zásobování teplem (CSZT)</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Písemné a 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Praktické předvedení s ústním vysvětlením</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32"/>
        <w:framePr w:w="10710" w:h="248" w:hRule="exact" w:wrap="none" w:vAnchor="page" w:hAnchor="margin" w:x="28" w:y="124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a 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 administrativní budovy, obchodní budovy, kina, divadla, sportovní stavby, různé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7925"/>
        <w:rPr>
          <w:rStyle w:val="C23"/>
          <w:rtl w:val="0"/>
        </w:rPr>
      </w:pPr>
      <w:r>
        <w:rPr>
          <w:rStyle w:val="C23"/>
          <w:rtl w:val="0"/>
        </w:rPr>
        <w:t>Je třeba splnit všechna kritéria.</w:t>
      </w:r>
    </w:p>
    <w:p>
      <w:pPr>
        <w:pStyle w:val="P23"/>
        <w:framePr w:w="10710" w:h="340" w:hRule="exact" w:wrap="none" w:vAnchor="page" w:hAnchor="margin" w:x="28" w:y="8361"/>
        <w:rPr>
          <w:rStyle w:val="C18"/>
          <w:rtl w:val="0"/>
        </w:rPr>
      </w:pPr>
      <w:r>
        <w:rPr>
          <w:rStyle w:val="C18"/>
          <w:rtl w:val="0"/>
        </w:rPr>
        <w:t>Navrhování a zásady provádění systémů na ochranu ovzduší</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1280" w:hRule="exact" w:wrap="none" w:vAnchor="page" w:hAnchor="margin" w:x="45" w:y="9176"/>
        <w:rPr>
          <w:rStyle w:val="C3"/>
          <w:rtl w:val="0"/>
        </w:rPr>
      </w:pPr>
    </w:p>
    <w:p>
      <w:pPr>
        <w:pStyle w:val="P13"/>
        <w:framePr w:w="6658" w:h="1153" w:hRule="exact" w:wrap="none" w:vAnchor="page" w:hAnchor="margin" w:x="71" w:y="9232"/>
        <w:rPr>
          <w:rStyle w:val="C11"/>
          <w:rtl w:val="0"/>
        </w:rPr>
      </w:pPr>
      <w:r>
        <w:rPr>
          <w:rStyle w:val="C11"/>
          <w:rtl w:val="0"/>
        </w:rPr>
        <w:t>a) Vysvětlit základní pojmy zákona o ochraně ovzduší: emise, emisní limit, emisní strop, imisní limit, depozice, skleníkové plyny, stavové podmínky, perzistentní látky, vztažné podmínky, stacionární vyjmenovaný a nevyjmenovaný zdroj, mobilní zdroj, provozovna, autorizovaná osoba, jmenovitý tepelný příkon, přímý a nepřímý procesní ohřev</w:t>
      </w:r>
    </w:p>
    <w:p>
      <w:pPr>
        <w:pStyle w:val="P28"/>
        <w:framePr w:w="3921" w:h="1280" w:hRule="exact" w:wrap="none" w:vAnchor="page" w:hAnchor="margin" w:x="6800" w:y="9176"/>
        <w:rPr>
          <w:rStyle w:val="C3"/>
          <w:rtl w:val="0"/>
        </w:rPr>
      </w:pPr>
    </w:p>
    <w:p>
      <w:pPr>
        <w:pStyle w:val="P29"/>
        <w:framePr w:w="3839" w:h="1153" w:hRule="exact" w:wrap="none" w:vAnchor="page" w:hAnchor="margin" w:x="6856" w:y="9232"/>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Uvést základní dělení odlučovačů pro tuhé příměsi</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Ústní ověření</w:t>
      </w:r>
    </w:p>
    <w:p>
      <w:pPr>
        <w:pStyle w:val="P16"/>
        <w:framePr w:w="6710" w:h="376" w:hRule="exact" w:wrap="none" w:vAnchor="page" w:hAnchor="margin" w:x="45" w:y="11439"/>
        <w:rPr>
          <w:rStyle w:val="C3"/>
          <w:rtl w:val="0"/>
        </w:rPr>
      </w:pPr>
    </w:p>
    <w:p>
      <w:pPr>
        <w:pStyle w:val="P17"/>
        <w:framePr w:w="6658" w:h="249" w:hRule="exact" w:wrap="none" w:vAnchor="page" w:hAnchor="margin" w:x="71" w:y="11495"/>
        <w:rPr>
          <w:rStyle w:val="C13"/>
          <w:rtl w:val="0"/>
        </w:rPr>
      </w:pPr>
      <w:r>
        <w:rPr>
          <w:rStyle w:val="C13"/>
          <w:rtl w:val="0"/>
        </w:rPr>
        <w:t>d) Popsat a nakreslit principy odlučování</w:t>
      </w:r>
    </w:p>
    <w:p>
      <w:pPr>
        <w:pStyle w:val="P30"/>
        <w:framePr w:w="3921" w:h="376" w:hRule="exact" w:wrap="none" w:vAnchor="page" w:hAnchor="margin" w:x="6800" w:y="11439"/>
        <w:rPr>
          <w:rStyle w:val="C3"/>
          <w:rtl w:val="0"/>
        </w:rPr>
      </w:pPr>
    </w:p>
    <w:p>
      <w:pPr>
        <w:pStyle w:val="P31"/>
        <w:framePr w:w="3839" w:h="249" w:hRule="exact" w:wrap="none" w:vAnchor="page" w:hAnchor="margin" w:x="6856" w:y="11495"/>
        <w:rPr>
          <w:rStyle w:val="C22"/>
          <w:rtl w:val="0"/>
        </w:rPr>
      </w:pPr>
      <w:r>
        <w:rPr>
          <w:rStyle w:val="C22"/>
          <w:rtl w:val="0"/>
        </w:rPr>
        <w:t>Praktické předvedení s ústním vysvětlením</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Ústní ověření</w:t>
      </w:r>
    </w:p>
    <w:p>
      <w:pPr>
        <w:pStyle w:val="P16"/>
        <w:framePr w:w="6710" w:h="831" w:hRule="exact" w:wrap="none" w:vAnchor="page" w:hAnchor="margin" w:x="45" w:y="12422"/>
        <w:rPr>
          <w:rStyle w:val="C3"/>
          <w:rtl w:val="0"/>
        </w:rPr>
      </w:pPr>
    </w:p>
    <w:p>
      <w:pPr>
        <w:pStyle w:val="P17"/>
        <w:framePr w:w="6658" w:h="704" w:hRule="exact" w:wrap="none" w:vAnchor="page" w:hAnchor="margin" w:x="71" w:y="12478"/>
        <w:rPr>
          <w:rStyle w:val="C13"/>
          <w:rtl w:val="0"/>
        </w:rPr>
      </w:pPr>
      <w:r>
        <w:rPr>
          <w:rStyle w:val="C13"/>
          <w:rtl w:val="0"/>
        </w:rPr>
        <w:t>f) Popsat systémy čištění plynů u vybraných technologií: spalování fosilních paliv a odpadů, výroba oceli, vápna a cementu, lakovny, sklářský, chemický a potravinářský průmysl, živočišná výroba</w:t>
      </w:r>
    </w:p>
    <w:p>
      <w:pPr>
        <w:pStyle w:val="P30"/>
        <w:framePr w:w="3921" w:h="831" w:hRule="exact" w:wrap="none" w:vAnchor="page" w:hAnchor="margin" w:x="6800" w:y="12422"/>
        <w:rPr>
          <w:rStyle w:val="C3"/>
          <w:rtl w:val="0"/>
        </w:rPr>
      </w:pPr>
    </w:p>
    <w:p>
      <w:pPr>
        <w:pStyle w:val="P31"/>
        <w:framePr w:w="3839" w:h="704" w:hRule="exact" w:wrap="none" w:vAnchor="page" w:hAnchor="margin" w:x="6856" w:y="12478"/>
        <w:rPr>
          <w:rStyle w:val="C22"/>
          <w:rtl w:val="0"/>
        </w:rPr>
      </w:pPr>
      <w:r>
        <w:rPr>
          <w:rStyle w:val="C22"/>
          <w:rtl w:val="0"/>
        </w:rPr>
        <w:t>Písemné a ústní ověření</w:t>
      </w:r>
    </w:p>
    <w:p>
      <w:pPr>
        <w:pStyle w:val="P32"/>
        <w:framePr w:w="10710" w:h="248" w:hRule="exact" w:wrap="none" w:vAnchor="page" w:hAnchor="margin" w:x="28" w:y="13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s ústním vysvětlením</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Písemné a 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Písemné a 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Písemné a 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Písemné a ústní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i) Popsat zásady pro soustřeďování instalací, volbu zařizovacích předmětů a koordinaci instalací (instalační jádra, instalační chodby, technická podlaží, instalační kanály, předstěnové systémy vedení instalací apod.)</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Písemné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Písemné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a 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Písemné a 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Písemné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Písemné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Písemné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Písemné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Písemné a 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Písemné a ústní ověření</w:t>
      </w:r>
    </w:p>
    <w:p>
      <w:pPr>
        <w:pStyle w:val="P32"/>
        <w:framePr w:w="10710" w:h="248" w:hRule="exact" w:wrap="none" w:vAnchor="page" w:hAnchor="margin" w:x="28" w:y="151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Písemné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Písemné a 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Písemné a 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Písemné a 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Písemné a 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3"/>
        <w:framePr w:w="10710" w:h="340" w:hRule="exact" w:wrap="none" w:vAnchor="page" w:hAnchor="margin" w:x="28" w:y="12220"/>
        <w:rPr>
          <w:rStyle w:val="C18"/>
          <w:rtl w:val="0"/>
        </w:rPr>
      </w:pPr>
      <w:r>
        <w:rPr>
          <w:rStyle w:val="C18"/>
          <w:rtl w:val="0"/>
        </w:rPr>
        <w:t>Orientace v právních předpisech pro výkon podnikatelské činnosti</w:t>
      </w:r>
    </w:p>
    <w:p>
      <w:pPr>
        <w:pStyle w:val="P24"/>
        <w:framePr w:w="6713" w:h="376" w:hRule="exact" w:wrap="none" w:vAnchor="page" w:hAnchor="margin" w:x="45" w:y="12659"/>
        <w:rPr>
          <w:rStyle w:val="C3"/>
          <w:rtl w:val="0"/>
        </w:rPr>
      </w:pPr>
    </w:p>
    <w:p>
      <w:pPr>
        <w:pStyle w:val="P25"/>
        <w:framePr w:w="6661" w:h="249" w:hRule="exact" w:wrap="none" w:vAnchor="page" w:hAnchor="margin" w:x="71" w:y="12730"/>
        <w:rPr>
          <w:rStyle w:val="C19"/>
          <w:rtl w:val="0"/>
        </w:rPr>
      </w:pPr>
      <w:r>
        <w:rPr>
          <w:rStyle w:val="C19"/>
          <w:rtl w:val="0"/>
        </w:rPr>
        <w:t>Kritéria hodnocení</w:t>
      </w:r>
    </w:p>
    <w:p>
      <w:pPr>
        <w:pStyle w:val="P26"/>
        <w:framePr w:w="3918" w:h="376" w:hRule="exact" w:wrap="none" w:vAnchor="page" w:hAnchor="margin" w:x="6803" w:y="12659"/>
        <w:rPr>
          <w:rStyle w:val="C3"/>
          <w:rtl w:val="0"/>
        </w:rPr>
      </w:pPr>
    </w:p>
    <w:p>
      <w:pPr>
        <w:pStyle w:val="P27"/>
        <w:framePr w:w="3836" w:h="249" w:hRule="exact" w:wrap="none" w:vAnchor="page" w:hAnchor="margin" w:x="6859" w:y="12730"/>
        <w:rPr>
          <w:rStyle w:val="C20"/>
          <w:rtl w:val="0"/>
        </w:rPr>
      </w:pPr>
      <w:r>
        <w:rPr>
          <w:rStyle w:val="C20"/>
          <w:rtl w:val="0"/>
        </w:rPr>
        <w:t>Způsoby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 xml:space="preserve">a) Popsat výkon vybraných činností ve výstavbě  podle Autorizačního zákona a Stavebního zákona v platném znění</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Písemné a ústní ověření</w:t>
      </w:r>
    </w:p>
    <w:p>
      <w:pPr>
        <w:pStyle w:val="P16"/>
        <w:framePr w:w="6710" w:h="376" w:hRule="exact" w:wrap="none" w:vAnchor="page" w:hAnchor="margin" w:x="45" w:y="13642"/>
        <w:rPr>
          <w:rStyle w:val="C3"/>
          <w:rtl w:val="0"/>
        </w:rPr>
      </w:pPr>
    </w:p>
    <w:p>
      <w:pPr>
        <w:pStyle w:val="P17"/>
        <w:framePr w:w="6658" w:h="249" w:hRule="exact" w:wrap="none" w:vAnchor="page" w:hAnchor="margin" w:x="71" w:y="13698"/>
        <w:rPr>
          <w:rStyle w:val="C13"/>
          <w:rtl w:val="0"/>
        </w:rPr>
      </w:pPr>
      <w:r>
        <w:rPr>
          <w:rStyle w:val="C13"/>
          <w:rtl w:val="0"/>
        </w:rPr>
        <w:t>b) Vysvětlit požadavky na vedení technické a provozní dokumentace</w:t>
      </w:r>
    </w:p>
    <w:p>
      <w:pPr>
        <w:pStyle w:val="P30"/>
        <w:framePr w:w="3921" w:h="376" w:hRule="exact" w:wrap="none" w:vAnchor="page" w:hAnchor="margin" w:x="6800" w:y="13642"/>
        <w:rPr>
          <w:rStyle w:val="C3"/>
          <w:rtl w:val="0"/>
        </w:rPr>
      </w:pPr>
    </w:p>
    <w:p>
      <w:pPr>
        <w:pStyle w:val="P31"/>
        <w:framePr w:w="3839" w:h="249" w:hRule="exact" w:wrap="none" w:vAnchor="page" w:hAnchor="margin" w:x="6856" w:y="13698"/>
        <w:rPr>
          <w:rStyle w:val="C22"/>
          <w:rtl w:val="0"/>
        </w:rPr>
      </w:pPr>
      <w:r>
        <w:rPr>
          <w:rStyle w:val="C22"/>
          <w:rtl w:val="0"/>
        </w:rPr>
        <w:t>Písemné a ústní ověření</w:t>
      </w:r>
    </w:p>
    <w:p>
      <w:pPr>
        <w:pStyle w:val="P12"/>
        <w:framePr w:w="6710" w:h="607" w:hRule="exact" w:wrap="none" w:vAnchor="page" w:hAnchor="margin" w:x="45" w:y="14018"/>
        <w:rPr>
          <w:rStyle w:val="C3"/>
          <w:rtl w:val="0"/>
        </w:rPr>
      </w:pPr>
    </w:p>
    <w:p>
      <w:pPr>
        <w:pStyle w:val="P13"/>
        <w:framePr w:w="6658" w:h="480" w:hRule="exact" w:wrap="none" w:vAnchor="page" w:hAnchor="margin" w:x="71" w:y="14074"/>
        <w:rPr>
          <w:rStyle w:val="C11"/>
          <w:rtl w:val="0"/>
        </w:rPr>
      </w:pPr>
      <w:r>
        <w:rPr>
          <w:rStyle w:val="C11"/>
          <w:rtl w:val="0"/>
        </w:rPr>
        <w:t>c) Uvést zákonné požadavky na uzavírané smlouvy o dílo a vyřizování reklamací</w:t>
      </w:r>
    </w:p>
    <w:p>
      <w:pPr>
        <w:pStyle w:val="P28"/>
        <w:framePr w:w="3921" w:h="607" w:hRule="exact" w:wrap="none" w:vAnchor="page" w:hAnchor="margin" w:x="6800" w:y="14018"/>
        <w:rPr>
          <w:rStyle w:val="C3"/>
          <w:rtl w:val="0"/>
        </w:rPr>
      </w:pPr>
    </w:p>
    <w:p>
      <w:pPr>
        <w:pStyle w:val="P29"/>
        <w:framePr w:w="3839" w:h="480" w:hRule="exact" w:wrap="none" w:vAnchor="page" w:hAnchor="margin" w:x="6856" w:y="14074"/>
        <w:rPr>
          <w:rStyle w:val="C21"/>
          <w:rtl w:val="0"/>
        </w:rPr>
      </w:pPr>
      <w:r>
        <w:rPr>
          <w:rStyle w:val="C21"/>
          <w:rtl w:val="0"/>
        </w:rPr>
        <w:t>Písemné a ústní ověření</w:t>
      </w:r>
    </w:p>
    <w:p>
      <w:pPr>
        <w:pStyle w:val="P16"/>
        <w:framePr w:w="6710" w:h="376" w:hRule="exact" w:wrap="none" w:vAnchor="page" w:hAnchor="margin" w:x="45" w:y="14625"/>
        <w:rPr>
          <w:rStyle w:val="C3"/>
          <w:rtl w:val="0"/>
        </w:rPr>
      </w:pPr>
    </w:p>
    <w:p>
      <w:pPr>
        <w:pStyle w:val="P17"/>
        <w:framePr w:w="6658" w:h="249" w:hRule="exact" w:wrap="none" w:vAnchor="page" w:hAnchor="margin" w:x="71" w:y="14681"/>
        <w:rPr>
          <w:rStyle w:val="C13"/>
          <w:rtl w:val="0"/>
        </w:rPr>
      </w:pPr>
      <w:r>
        <w:rPr>
          <w:rStyle w:val="C13"/>
          <w:rtl w:val="0"/>
        </w:rPr>
        <w:t>d) Uvést zásady vedení zaměstnanců a způsoby jejich odměňování</w:t>
      </w:r>
    </w:p>
    <w:p>
      <w:pPr>
        <w:pStyle w:val="P30"/>
        <w:framePr w:w="3921" w:h="376" w:hRule="exact" w:wrap="none" w:vAnchor="page" w:hAnchor="margin" w:x="6800" w:y="14625"/>
        <w:rPr>
          <w:rStyle w:val="C3"/>
          <w:rtl w:val="0"/>
        </w:rPr>
      </w:pPr>
    </w:p>
    <w:p>
      <w:pPr>
        <w:pStyle w:val="P31"/>
        <w:framePr w:w="3839" w:h="249" w:hRule="exact" w:wrap="none" w:vAnchor="page" w:hAnchor="margin" w:x="6856" w:y="14681"/>
        <w:rPr>
          <w:rStyle w:val="C22"/>
          <w:rtl w:val="0"/>
        </w:rPr>
      </w:pPr>
      <w:r>
        <w:rPr>
          <w:rStyle w:val="C22"/>
          <w:rtl w:val="0"/>
        </w:rPr>
        <w:t>Písemné a ústní ověření</w:t>
      </w:r>
    </w:p>
    <w:p>
      <w:pPr>
        <w:pStyle w:val="P32"/>
        <w:framePr w:w="10710" w:h="248" w:hRule="exact" w:wrap="none" w:vAnchor="page" w:hAnchor="margin" w:x="28" w:y="151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strojírenství nebo elektrotechniky.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splňovat podmínky elektrotechnické způsobilosti podle vyhlášky 50/1978 Sb. §6, ve znění pozdějších předpisů.</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je harmonizován s RVP pro obor vzdělání 36-45-M/01 Technická zařízení budov.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technická zařízení budov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nebo v řídicích činnostech v oblasti stavební výroby nebo ve funkci učitele odborných předmětů v oblasti stavebnictví,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103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225"/>
        <w:rPr>
          <w:rStyle w:val="C3"/>
          <w:rtl w:val="0"/>
        </w:rPr>
      </w:pPr>
    </w:p>
    <w:p>
      <w:pPr>
        <w:pStyle w:val="P35"/>
        <w:framePr w:w="10710" w:h="340" w:hRule="exact" w:wrap="none" w:vAnchor="page" w:hAnchor="margin" w:x="28" w:y="12225"/>
        <w:rPr>
          <w:rStyle w:val="C25"/>
          <w:rtl w:val="0"/>
        </w:rPr>
      </w:pPr>
      <w:r>
        <w:rPr>
          <w:rStyle w:val="C25"/>
          <w:rtl w:val="0"/>
        </w:rPr>
        <w:t>Doba pro vykonání zkoušky</w:t>
      </w:r>
    </w:p>
    <w:p>
      <w:pPr>
        <w:keepNext w:val="0"/>
        <w:keepLines w:val="0"/>
        <w:framePr w:w="10766" w:h="806" w:hRule="exact" w:wrap="none" w:vAnchor="page" w:hAnchor="margin" w:x="0" w:y="125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techniku prostředí staveb, 30.9.2026 6:46:16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D18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67F29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B01AB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