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020C5C" Type="http://schemas.openxmlformats.org/officeDocument/2006/relationships/officeDocument" Target="/word/document.xml" /><Relationship Id="coreR50020C5C" Type="http://schemas.openxmlformats.org/package/2006/relationships/metadata/core-properties" Target="/docProps/core.xml" /><Relationship Id="customR50020C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Studnař/studnařka vrtaných studní (kód: 36-136-H)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Studnař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stavbu vrtaných studní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staveniště vrtané studny a jeho zabezpečení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Zřizování vrtaných studní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izolací vrtaných studní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Čištění a dezinfekce vrtaných studní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Opravy nebo výměny hlavy vrtané studny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Rekonstrukce a oživování vrtaných studní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Ošetřování a údržba strojů a zařízení pro studnařské práce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Studnař/studnařka vrtaných studní, 30.9.2026 8:37:29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"https://www.nsp.cz/jednotka-prace/studnar"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https://www.nsp.cz/jednotka-prace/studnar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vychází z předvedené znalosti technologických postupů, ze zručnosti při provádění pracovních úkonů a z výsledné kvality práce.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je potřeba zohlednit tato kritéria: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Dodržení požadavků projektu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Schopnost pracovat se strojním zařízením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BOZP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Vliv prováděných úkonů na majetek a prostředí odběratele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praktického předvedení je třeba přihlížet k bezpečnému provádění všech úkonů, dodržování předpisů, ke kvalitě zhotoveného produktu i k časovému hledisku zvládání operací.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Studnař/studnařka vrtaných studní, 30.9.2026 8:37:29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ČKAIT, VŠB - TU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STAMINA s. r. o.; VUT Brno, Fakulta stavební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Studnař/studnařka vrtaných studní, 30.9.2026 8:37:29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