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55F283" Type="http://schemas.openxmlformats.org/officeDocument/2006/relationships/officeDocument" Target="/word/document.xml" /><Relationship Id="coreR5055F283" Type="http://schemas.openxmlformats.org/package/2006/relationships/metadata/core-properties" Target="/docProps/core.xml" /><Relationship Id="customR5055F2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vrtů pro tepelná čerpadla, 9.9.2026 23:23:47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navrhnout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požadavky na bezpečnost a ochranu zdraví při práci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a 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9.9.2026 23:23:47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vrtu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kaly odčerpáním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 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navrhnout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Popsat postup odstraňování usazenin a kalů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Ošetřování a údržba strojů a zařízení pro studnařské práce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zásady BOZP se zařízeními pro studnařské práce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831" w:hRule="exact" w:wrap="none" w:vAnchor="page" w:hAnchor="margin" w:x="45" w:y="10911"/>
        <w:rPr>
          <w:rStyle w:val="C3"/>
          <w:rtl w:val="0"/>
        </w:rPr>
      </w:pPr>
    </w:p>
    <w:p>
      <w:pPr>
        <w:pStyle w:val="P17"/>
        <w:framePr w:w="6658" w:h="704" w:hRule="exact" w:wrap="none" w:vAnchor="page" w:hAnchor="margin" w:x="71" w:y="10967"/>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0911"/>
        <w:rPr>
          <w:rStyle w:val="C3"/>
          <w:rtl w:val="0"/>
        </w:rPr>
      </w:pPr>
    </w:p>
    <w:p>
      <w:pPr>
        <w:pStyle w:val="P31"/>
        <w:framePr w:w="3839" w:h="704" w:hRule="exact" w:wrap="none" w:vAnchor="page" w:hAnchor="margin" w:x="6856" w:y="10967"/>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9.9.2026 23:23:47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vrtů pro tepelná čerpadla, 9.9.2026 23:23:47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36-137-H Studnař/studnařka vrtů pro tepelná čerpadla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vrtů pro tepelná čerpadla, 9.9.2026 23:23:47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plášť vrtu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zhotovení vrtů: vrtná souprava se spalovacím motorem, vrtná souprava s pohonem elektromotorem, kalová čerpadla, transformátor a osvětlení s nízkým napětím, vysokotlaký čisticí stroj</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 pažnice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pažnice plastové a kovové pro výztuhu vrtů pro tepelná čerpadla.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vrtů pro tepelná čerpadla, 9.9.2026 23:23:47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vrtů pro tepelná čerpadla, 9.9.2026 23:23:47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B2D0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390D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