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9B1A2A" Type="http://schemas.openxmlformats.org/officeDocument/2006/relationships/officeDocument" Target="/word/document.xml" /><Relationship Id="coreR7C9B1A2A" Type="http://schemas.openxmlformats.org/package/2006/relationships/metadata/core-properties" Target="/docProps/core.xml" /><Relationship Id="customR7C9B1A2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Knihovník/knihovnice v přímých službách (kód: 72-006-M)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v přímých službách; Knihovník pracovník správy fondů; Referenční knihovník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304"/>
        <w:rPr>
          <w:rStyle w:val="C9"/>
          <w:rtl w:val="0"/>
        </w:rPr>
      </w:pPr>
      <w:r>
        <w:rPr>
          <w:rStyle w:val="C9"/>
          <w:rtl w:val="0"/>
        </w:rPr>
        <w:t>Standard je platný od: 06.01.2023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Knihovník/knihovnice v přímých službách, 20.8.2026 17:59:04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Moravská zemská knihovna v Brně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Kounicova 65a, 60187 Brno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Moravskoslezská vědecká knihovna v Ostravě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 xml:space="preserve">Prokešovo náměstí  9/1802, 70200 Moravská Ostrava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Národní knihovna ČR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Mariánské nám. 190/5, 11000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Knihovník/knihovnice v přímých službách, 20.8.2026 17:59:04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