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B9337" Type="http://schemas.openxmlformats.org/officeDocument/2006/relationships/officeDocument" Target="/word/document.xml" /><Relationship Id="coreR258B9337" Type="http://schemas.openxmlformats.org/package/2006/relationships/metadata/core-properties" Target="/docProps/core.xml" /><Relationship Id="customR258B93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/ technička taxátorka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geometrických plánech a mapách užívaných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pro tvorbu lesních hospodářských plánů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Zjišťovaní taxačních veličin stromů a porostů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taxačních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Zhodnocení zjištěného stavu lesa a návrh hospodářských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"Příprava podkladů pro tvorbu lesních hospodářských plánů" se v kritériu g) legislativou k tvorbě OPRL rozumí lesní zákon č. 289/1995 Sb. a vyhláška č. 83/1996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budou v kritériu a) předmětem poznávání následující dřeviny: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jasan, akát, bříza, třešeň, olše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vyjmenované dřeviny. Za úspěšné splnění tohoto kritéria se považuje poznání 100 % předložených dřevin.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v kritériu f) se legislativou k lesnímu hospodářskému plánování rozumí lesní zákon č. 289/1995 Sb. a vyhláška č. 84/1996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