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0E1A48" Type="http://schemas.openxmlformats.org/officeDocument/2006/relationships/officeDocument" Target="/word/document.xml" /><Relationship Id="coreR1D0E1A48" Type="http://schemas.openxmlformats.org/package/2006/relationships/metadata/core-properties" Target="/docProps/core.xml" /><Relationship Id="customR1D0E1A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pracovněprávních vztahů (kód: 62-018-R)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pracovně právních vztahů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pracovněprávní legislativy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pracovněprávních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interpretace vnitřních norem a předpisů v pracovněprávní oblasti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oblasti pracovněprávní uvnitř společnosti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komplexním systému interních norem z pohledu souladu s pracovněprávní legislativou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legislativě týkající se soudních sporů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kancelářských programů a personálního informačního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07.05.2014 do: 19.08.2020</w:t>
      </w:r>
    </w:p>
    <w:p>
      <w:pPr>
        <w:pStyle w:val="P21"/>
        <w:framePr w:w="7654" w:h="331" w:hRule="exact" w:wrap="none" w:vAnchor="page" w:hAnchor="margin" w:x="28" w:y="15940"/>
        <w:rPr>
          <w:rStyle w:val="C16"/>
          <w:rtl w:val="0"/>
        </w:rPr>
      </w:pPr>
      <w:r>
        <w:rPr>
          <w:rStyle w:val="C16"/>
          <w:rtl w:val="0"/>
        </w:rPr>
        <w:t>Specialista pracovněprávních vztahů, 28.7.2026 11:52:55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pracovněprávní legislativy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pracovněprávní legislativě zejména v zákoníku práce a předpisech souvisejících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obchodního zákoníku a občanského zákoníku ve vztahu k pracovnímu právu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Interpretovat pracovněprávní předpisy v praxi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pracovních poměrů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Charakterizovat pracovní právo v roli manažera</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pravomoci a odpovědnosti statutárních orgánů (představenstvo, dozorčí rada apod. – dle typu firmy) v pracovněprávní oblasti</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a 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Tvorba pracovněprávních dokumentů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Vytvořit pracovněprávní dokument a vysvětlit pravidla tvorby těchto dokumentů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Definovat základní náležitosti pracovních smluv a dohod</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Písemné ověření nebo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Charakterizovat systém ukládání dokumentů, včetně základních pravidel skartace</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Písemné ověření nebo 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Charakterizovat způsoby vedení osobních spisů a popisů pracovních míst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Písemné ověření nebo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a interpretace vnitřních norem a předpisů v pracovněprávní oblasti</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Charakterizovat tvorbu vnitřních organizačních norem a interních předpisů v oblasti pracovněprávní (pracovní řády)</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 nebo 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Interpretovat vnitřní firemní dokumenty a předpisy</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 nebo ústní ověření</w:t>
      </w:r>
    </w:p>
    <w:p>
      <w:pPr>
        <w:pStyle w:val="P32"/>
        <w:framePr w:w="10710" w:h="248" w:hRule="exact" w:wrap="none" w:vAnchor="page" w:hAnchor="margin" w:x="28" w:y="12499"/>
        <w:rPr>
          <w:rStyle w:val="C23"/>
          <w:rtl w:val="0"/>
        </w:rPr>
      </w:pPr>
      <w:r>
        <w:rPr>
          <w:rStyle w:val="C23"/>
          <w:rtl w:val="0"/>
        </w:rPr>
        <w:t>Je třeba splnit obě kritéria.</w:t>
      </w:r>
    </w:p>
    <w:p>
      <w:pPr>
        <w:pStyle w:val="P23"/>
        <w:framePr w:w="10710" w:h="340" w:hRule="exact" w:wrap="none" w:vAnchor="page" w:hAnchor="margin" w:x="28" w:y="12935"/>
        <w:rPr>
          <w:rStyle w:val="C18"/>
          <w:rtl w:val="0"/>
        </w:rPr>
      </w:pPr>
      <w:r>
        <w:rPr>
          <w:rStyle w:val="C18"/>
          <w:rtl w:val="0"/>
        </w:rPr>
        <w:t>Poradenství v oblasti pracovněprávní uvnitř společnosti</w:t>
      </w:r>
    </w:p>
    <w:p>
      <w:pPr>
        <w:pStyle w:val="P24"/>
        <w:framePr w:w="6713" w:h="376" w:hRule="exact" w:wrap="none" w:vAnchor="page" w:hAnchor="margin" w:x="45" w:y="13374"/>
        <w:rPr>
          <w:rStyle w:val="C3"/>
          <w:rtl w:val="0"/>
        </w:rPr>
      </w:pPr>
    </w:p>
    <w:p>
      <w:pPr>
        <w:pStyle w:val="P25"/>
        <w:framePr w:w="6661" w:h="249" w:hRule="exact" w:wrap="none" w:vAnchor="page" w:hAnchor="margin" w:x="71" w:y="13445"/>
        <w:rPr>
          <w:rStyle w:val="C19"/>
          <w:rtl w:val="0"/>
        </w:rPr>
      </w:pPr>
      <w:r>
        <w:rPr>
          <w:rStyle w:val="C19"/>
          <w:rtl w:val="0"/>
        </w:rPr>
        <w:t>Kritéria hodnocení</w:t>
      </w:r>
    </w:p>
    <w:p>
      <w:pPr>
        <w:pStyle w:val="P26"/>
        <w:framePr w:w="3918" w:h="376" w:hRule="exact" w:wrap="none" w:vAnchor="page" w:hAnchor="margin" w:x="6803" w:y="13374"/>
        <w:rPr>
          <w:rStyle w:val="C3"/>
          <w:rtl w:val="0"/>
        </w:rPr>
      </w:pPr>
    </w:p>
    <w:p>
      <w:pPr>
        <w:pStyle w:val="P27"/>
        <w:framePr w:w="3836" w:h="249" w:hRule="exact" w:wrap="none" w:vAnchor="page" w:hAnchor="margin" w:x="6859" w:y="13445"/>
        <w:rPr>
          <w:rStyle w:val="C20"/>
          <w:rtl w:val="0"/>
        </w:rPr>
      </w:pPr>
      <w:r>
        <w:rPr>
          <w:rStyle w:val="C20"/>
          <w:rtl w:val="0"/>
        </w:rPr>
        <w:t>Způsoby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a) Vést jednání směřující k eliminaci pracovněprávních sporů a předcházení jejich vzniku</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16"/>
        <w:framePr w:w="6710" w:h="607" w:hRule="exact" w:wrap="none" w:vAnchor="page" w:hAnchor="margin" w:x="45" w:y="14357"/>
        <w:rPr>
          <w:rStyle w:val="C3"/>
          <w:rtl w:val="0"/>
        </w:rPr>
      </w:pPr>
    </w:p>
    <w:p>
      <w:pPr>
        <w:pStyle w:val="P17"/>
        <w:framePr w:w="6658" w:h="480" w:hRule="exact" w:wrap="none" w:vAnchor="page" w:hAnchor="margin" w:x="71" w:y="14413"/>
        <w:rPr>
          <w:rStyle w:val="C13"/>
          <w:rtl w:val="0"/>
        </w:rPr>
      </w:pPr>
      <w:r>
        <w:rPr>
          <w:rStyle w:val="C13"/>
          <w:rtl w:val="0"/>
        </w:rPr>
        <w:t>b) Analyzovat příčiny interního sporu mezi zaměstnanci a navrhnout adekvátní postupy k jeho eliminaci</w:t>
      </w:r>
    </w:p>
    <w:p>
      <w:pPr>
        <w:pStyle w:val="P30"/>
        <w:framePr w:w="3921" w:h="607" w:hRule="exact" w:wrap="none" w:vAnchor="page" w:hAnchor="margin" w:x="6800" w:y="14357"/>
        <w:rPr>
          <w:rStyle w:val="C3"/>
          <w:rtl w:val="0"/>
        </w:rPr>
      </w:pPr>
    </w:p>
    <w:p>
      <w:pPr>
        <w:pStyle w:val="P31"/>
        <w:framePr w:w="3839" w:h="480" w:hRule="exact" w:wrap="none" w:vAnchor="page" w:hAnchor="margin" w:x="6856" w:y="14413"/>
        <w:rPr>
          <w:rStyle w:val="C22"/>
          <w:rtl w:val="0"/>
        </w:rPr>
      </w:pPr>
      <w:r>
        <w:rPr>
          <w:rStyle w:val="C22"/>
          <w:rtl w:val="0"/>
        </w:rPr>
        <w:t>Praktické předvedení a ústní ověření</w:t>
      </w:r>
    </w:p>
    <w:p>
      <w:pPr>
        <w:pStyle w:val="P32"/>
        <w:framePr w:w="10710" w:h="248" w:hRule="exact" w:wrap="none" w:vAnchor="page" w:hAnchor="margin" w:x="28" w:y="150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pracovněprávních vztahů, 28.7.2026 11:52:55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komplexním systému interních norem z pohledu souladu s pracovněprávní legislativou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obecně platný systém základních vnitrofiremních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návaznosti interních norem na pracovněprávní legislativu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legislativě týkající se soudních sporů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Orientovat se v Občanském soudním řádu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postup při pracovněprávním soudním sporu</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Charakterizovat jednotlivé lhůty a doby v soudních sporech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a 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Obsluha kancelářských programů a personálního informačního systému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Pracovat s textovým editorem (formátování textů, tvorba obsahů, slučovací tisky a hromadná korespondence)</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 tabulkovým procesorem a s počítačovým zpracováním grafů (kontingenční tabulky, tvorba grafů)</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Pracovat s vybraným personálním informačním systémem (zavedení nového zaměstnance, editace změn)</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kolektivního vyjednávání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Vysvětlit základní povinnosti firmy vůči zaměstnancům v případě, že firma je bez odborové organizace</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Písemné a ústní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Uvést základní pravidla tvorby kolektivních smluv</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pracovněprávních vztahů, 28.7.2026 11:52:55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si autorizovaná osoba zvolí pro písemné ověřování kompetencí formu testu, platí níže uvedená pravidla pro aplikaci písemných testů. Písemný test však nemůže být jediným způsobem ověřování odborných kompetencí v rámci profesní kvalifikace. V případě zařazení testu musí mít autorizovaná osoba připraven soubor min. 300 otázek.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15 případových studií ověřujících kompetence dle navržených kritérií hodnocení. Případová studie bude aplikována u těchto kompetencí: Aplikace pracovněprávní legislativy, Tvorba pracovněprávních dokumentů, Poradenství v oblasti pracovněprávní uvnitř společnosti, Obsluha kancelářských programů a personálního informačního systému.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vylosuje jednu případovou studii, kterou zpracuje a odprezentuje výsledky. Autorizovaná osoba má možnost pokládat doplňující otázky.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uchazečů nemůže být použit pouze test, případové studie pro ověření vyjmenovaných kompetencí jsou nezbytné.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je realizováno formou obhajoby postupu v rámci zpracování a prezentace případové studie.</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Specialista pracovněprávních vztahů, 28.7.2026 11:52:55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právní, humanitní nebo ekonomicko-technické a alespoň 7 let odborné praxe v řídicích činnostech v oblasti práva, personalistiky a vzdělávání, z toho minimálně 1 rok v období posledních 2 let před podáním žádosti o udělení autorizace.</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právní, humanitní nebo ekonomicko-technické obory a alespoň 5 let odborné praxe v řídicích činnostech v oblasti personalistiky a vzdělávání, z toho minimálně 1 rok v období posledních 2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7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7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ČR, www.mpsv.cz.</w:t>
      </w:r>
    </w:p>
    <w:p>
      <w:pPr>
        <w:pStyle w:val="P33"/>
        <w:framePr w:w="10766" w:h="2768" w:hRule="exact" w:wrap="none" w:vAnchor="page" w:hAnchor="margin" w:x="0" w:y="11611"/>
        <w:rPr>
          <w:rStyle w:val="C3"/>
          <w:rtl w:val="0"/>
        </w:rPr>
      </w:pPr>
    </w:p>
    <w:p>
      <w:pPr>
        <w:pStyle w:val="P35"/>
        <w:framePr w:w="10710" w:h="340" w:hRule="exact" w:wrap="none" w:vAnchor="page" w:hAnchor="margin" w:x="28" w:y="11611"/>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systémem, textovým editorem, tabulkovým procesorem, programem pro tvorbu prezentací s připojením k internetu, aktuální znění zákoníku práce, obchodního zákoníku a občanského zákoníku. Soubor případových studií a testových otázek (jsou-li použity). Papír, psací pomůcky.</w:t>
      </w:r>
    </w:p>
    <w:p>
      <w:pPr>
        <w:keepNext w:val="0"/>
        <w:keepLines w:val="0"/>
        <w:framePr w:w="10766" w:h="2428"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pracovněprávních vztahů, 28.7.2026 11:52:55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a zahrnuje odpověď na test, řešení případové studie a prezentaci výsledků případové studie (hodinou se rozumí 60 minut).</w:t>
      </w:r>
    </w:p>
    <w:p>
      <w:pPr>
        <w:pStyle w:val="P21"/>
        <w:framePr w:w="7654" w:h="331" w:hRule="exact" w:wrap="none" w:vAnchor="page" w:hAnchor="margin" w:x="28" w:y="15940"/>
        <w:rPr>
          <w:rStyle w:val="C16"/>
          <w:rtl w:val="0"/>
        </w:rPr>
      </w:pPr>
      <w:r>
        <w:rPr>
          <w:rStyle w:val="C16"/>
          <w:rtl w:val="0"/>
        </w:rPr>
        <w:t>Specialista pracovněprávních vztahů, 28.7.2026 11:52:55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 a. s., Vienna Insurance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Devro, s. r. o.</w:t>
      </w:r>
    </w:p>
    <w:p>
      <w:pPr>
        <w:pStyle w:val="P21"/>
        <w:framePr w:w="7654" w:h="331" w:hRule="exact" w:wrap="none" w:vAnchor="page" w:hAnchor="margin" w:x="28" w:y="15940"/>
        <w:rPr>
          <w:rStyle w:val="C16"/>
          <w:rtl w:val="0"/>
        </w:rPr>
      </w:pPr>
      <w:r>
        <w:rPr>
          <w:rStyle w:val="C16"/>
          <w:rtl w:val="0"/>
        </w:rPr>
        <w:t>Specialista pracovněprávních vztahů, 28.7.2026 11:52:55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7A0E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683E9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