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C2D49A" Type="http://schemas.openxmlformats.org/officeDocument/2006/relationships/officeDocument" Target="/word/document.xml" /><Relationship Id="coreR16C2D49A" Type="http://schemas.openxmlformats.org/package/2006/relationships/metadata/core-properties" Target="/docProps/core.xml" /><Relationship Id="customR16C2D4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pracovněprávní legislativy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Tvorba pracovněprávních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a interpretace vnitřních norem a předpisů v pracovněprávní oblasti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Poradenství v oblasti pracovněprávní uvnitř společnosti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komplexním systému interních norem z pohledu souladu s pracovněprávní legislativou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legislativě týkající se soudních sporů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kancelářských programů a personálního informačního systému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Organizování kolektivního vyjednávání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07.05.2014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7.11.2026 18:01:15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si autorizovaná osoba zvolí pro písemné ověřování kompetencí formu testu, platí níže uvedená pravidla pro aplikaci písemných testů. Písemný test však nemůže být jediným způsobem ověřování odborných kompetencí v rámci profesní kvalifikace. V případě zařazení testu musí mít autorizovaná osoba připraven soubor min. 300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písemných testů jako způsobu ověřování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si zároveň pro zkoušku připraví soubor 15 případových studií ověřujících kompetence dle navržených kritérií hodnocení. Případová studie bude aplikována u těchto kompetencí: Aplikace pracovněprávní legislativy, Tvorba pracovněprávních dokumentů, Poradenství v oblasti pracovněprávní uvnitř společnosti, Obsluha kancelářských programů a personálního informačního systému.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vylosuje jednu případovou studii, kterou zpracuje a odprezentuje výsledky. Autorizovaná osoba má možnost pokládat doplňující otázky.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splněné následující dvě podmínky: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kompetencí uchazečů nemůže být použit pouze test, případové studie pro ověření vyjmenovaných kompetencí jsou nezbytné.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je realizováno formou obhajoby postupu v rámci zpracování a prezentace případové studie.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7.11.2026 18:01:15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pojišťovna, a. s., Vienna Insurance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Devro,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pracovněprávních vztahů, 7.11.2026 18:01:15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