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64679B" Type="http://schemas.openxmlformats.org/officeDocument/2006/relationships/officeDocument" Target="/word/document.xml" /><Relationship Id="coreRC64679B" Type="http://schemas.openxmlformats.org/package/2006/relationships/metadata/core-properties" Target="/docProps/core.xml" /><Relationship Id="customRC646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pracovněprávní legislativy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pracovněprávních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interpretace vnitřních norem a předpisů v pracovněprávní oblasti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oblasti pracovněprávní uvnitř společnosti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komplexním systému interních norem z pohledu souladu s pracovněprávní legislativou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legislativě týkající se soudních sporů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18.10.2026 18:28:46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 V případě zařazení testu musí mít autorizovaná osoba připraven soubor min. 300 otázek.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15 případových studií ověřujících kompetence dle navržených kritérií hodnocení. Případová studie bude aplikována u těchto kompetencí: Aplikace pracovněprávní legislativy, Tvorba pracovněprávních dokumentů, Poradenství v oblasti pracovněprávní uvnitř společnosti, Obsluha kancelářských programů a personálního informačního systému.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jednu případovou studii, kterou zpracuje a odprezentuje výsledky. Autorizovaná osoba má možnost pokládat doplňující otázky.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uchazečů nemůže být použit pouze test, případové studie pro ověření vyjmenovaných kompetencí jsou nezbytné.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je realizováno formou obhajoby postupu v rámci zpracování a prezentace případové studie.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18.10.2026 18:28:46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pojišťovna, a. s., Vienna Insurance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Devro,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18.10.2026 18:28:46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