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64D88" Type="http://schemas.openxmlformats.org/officeDocument/2006/relationships/officeDocument" Target="/word/document.xml" /><Relationship Id="coreR47464D88" Type="http://schemas.openxmlformats.org/package/2006/relationships/metadata/core-properties" Target="/docProps/core.xml" /><Relationship Id="customR47464D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obecných zásad pro krytí střech a fasád přírodní břidlicí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krytin z přírodní břidlice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15F9C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820A8A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