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86A6A2" Type="http://schemas.openxmlformats.org/officeDocument/2006/relationships/officeDocument" Target="/word/document.xml" /><Relationship Id="coreR6D86A6A2" Type="http://schemas.openxmlformats.org/package/2006/relationships/metadata/core-properties" Target="/docProps/core.xml" /><Relationship Id="customR6D86A6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metalurg / slévárenská technička metalurgyně (kód: 21-057-M)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ve slévárenské výrobě a výrobě modelových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a řízení komplexních metalurgických postupů a technických podmínek ve slévárenské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materiálů a polotovarů pro slévárenskou výrobu s vysokým stupněm inovace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komplexních metalurgických postupech a technických podmínkách v celém rozsahu slévárenské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a zpracování metalurgických podkladů o slévárenské výrobě pro marketingovou a obchodní činnost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14.08.2024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metalurg / slévárenská technička metalurgyně, 18.10.2026 16:30:43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http://katalog.nsp.cz/zdravotniPodminky.aspx?id_jp=30890). 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při ověřování umožňují více kombinací splnění kritérií, protože není nutné splnit všechna kritéria, nebo ověření v provozním či simulovaném prostředí, autorizovaná osoba sdělí a nejpozději spolu s pozvánkou zašle uchazeči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na pozvánce.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metalurg / slévárenská technička metalurgyně, 18.10.2026 16:30:43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slévárenství a kovárenství, ustavena a licencována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JMA,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Slévárna a modelárna Nové Ransko,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metalurg / slévárenská technička metalurgyně, 18.10.2026 16:30:43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