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C38DB8" Type="http://schemas.openxmlformats.org/officeDocument/2006/relationships/officeDocument" Target="/word/document.xml" /><Relationship Id="coreR11C38DB8" Type="http://schemas.openxmlformats.org/package/2006/relationships/metadata/core-properties" Target="/docProps/core.xml" /><Relationship Id="customR11C38D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Laborant/laborantka v metalurgii (kód: 21-059-H)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slévárenské technologii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zkoušek kovových a nekovových materiálů, obsluha laboratorních přístrojů a zařízení a jejich seřizování a vedení dokumentace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Odběry vzorků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metalografických výbrusů a jejich vyhodnocení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v metalurgii, 20.10.2026 12:01:18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(viz.http://katalog.nsp.cz/zdravotniPodminky.aspx?id_jp=101968).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kompetencí, které dle tohoto hodnoticího standardu při ověřování umožňují více kombinací splnění kriterií, protože není nutné splnit všechna kriteria, autorizovaná osoba sdělí a nejpozději spolu s pozvánkou zašle uchazeči výčet kritérií, která lze s ohledem na technické a technologické podmínky autorizované osoby ověřovat a dále jaké aspekty budou sledovány při výkonu činností a při nakládání s materiálem.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variant, které umožňuje jak tento hodnoticí standard, tak podmínky autorizované osoby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v metalurgii, 20.10.2026 12:01:18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slévárenství a kovárenství, ustavena a licencována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JMA,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Slévárna a modelárna Nové Ransko,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v metalurgii, 20.10.2026 12:01:18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