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B39A4" Type="http://schemas.openxmlformats.org/officeDocument/2006/relationships/officeDocument" Target="/word/document.xml" /><Relationship Id="coreR50B39A4" Type="http://schemas.openxmlformats.org/package/2006/relationships/metadata/core-properties" Target="/docProps/core.xml" /><Relationship Id="customR50B39A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Laborant v metalurgii (kód: 21-059-H)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Laborant v metalurgii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slévárenské technologii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zkoušek kovových a nekovových materiálů, obsluha laboratorních přístrojů a zařízení a jejich seřizování a vedení dokumentace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Odběry vzorků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Provádění metalografických výbrusů a jejich vyhodnocení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58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922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Laborant v metalurgii,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pracovních činností této profesní kvalifikace je vyžadována a prokazuje se lékařským potvrzením (viz.http://katalog.nsp.cz/zdravotniPodminky.aspx?id_jp=101968). 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kompetencí, které dle tohoto hodnoticího standardu při ověřování umožňují více kombinací splnění kriterií, protože není nutné splnit všechna kriteria, autorizovaná osoba sdělí a nejpozději spolu s pozvánkou zašle uchazeči výčet kritérií, která lze s ohledem na technické a technologické podmínky autorizované osoby ověřovat a dále jaké aspekty budou sledovány při výkonu činností a při nakládání s materiálem. 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variant, které umožňuje jak tento hodnoticí standard, tak podmínky autorizované osoby si uchazeč zvolí tu, která nejvíce odpovídá jeho potřebám a zkušenostem. O zvolených variantách uchazeč informuje autorizovanou osobu, a to nejpozději v termínu, který uvede autorizovaná osoba v pozvánce.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Laborant v metalurgii,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hutnictví, slévárenství a kovárenství, ustavena a licencována pro tuto činnost HK ČR a SP ČR.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METOS, v. o.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JMA,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KASI,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VUT Brno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Slévárna a modelárna Nové Ransko,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Laborant v metalurgii,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