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090BC9" Type="http://schemas.openxmlformats.org/officeDocument/2006/relationships/officeDocument" Target="/word/document.xml" /><Relationship Id="coreR26090BC9" Type="http://schemas.openxmlformats.org/package/2006/relationships/metadata/core-properties" Target="/docProps/core.xml" /><Relationship Id="customR26090B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přípravy lomové těžby (kód: 21-049-M)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předpisech v lomové těžbě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dokumentech pro plánování těžebních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těžebních postupů v lomu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podkladech, potřebných pro rozvoj lomu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Vypracování projektu skrývkových prací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předpisech pro těžební práce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22.10.2026 8:29:32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 xml:space="preserve"> 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musí mít autorizovaná osoba dokumentaci potřebnou pro povrchovou těžbu, včetně grafických příloh (podkladů), zákonů, vyhlášek a nařízení vlády pro povrchové dobývání a související předpisy.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prostředí lomu a na školicím pracovišti na povrchu (lomu).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22.10.2026 8:29:32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LB MINERALS,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DOBET,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 – SILNICE,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22.10.2026 8:29:32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