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02D0C" Type="http://schemas.openxmlformats.org/officeDocument/2006/relationships/officeDocument" Target="/word/document.xml" /><Relationship Id="coreR5FD02D0C" Type="http://schemas.openxmlformats.org/package/2006/relationships/metadata/core-properties" Target="/docProps/core.xml" /><Relationship Id="customR5FD02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Vyhodnocování rozborů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výrobě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https://www.nsp.cz/jednotka-prace/vodarensky-technik-techno#zdravotni-zpusobilost) a zdravotním průkazem pro práci v potravinářství.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 a dokumentaci k technologii výroby a distribuci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technologických procesů při výrobě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vody, technické výkresy zařízení úpravny vody, podklady pro posouzení kapacity zařízení pro výrobu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procesů výroby vody v úpravnách vody a vodovodní síti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a b)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rozborů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AOs připraví minimálně 3 protokoly o výsledcích rozboru vzorků vody z jednotlivých stupňů procesu úpravy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vody z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bezpečnosti a ochrany zdraví při práci a požární ochrany při výrobě a distribuci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bezpečnostní listy chemikálií používaných ve vodárenství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seznámen s provozem úpravny vody, distribuční sítě a se soubory příslušné provozní dokumentace. Kompetence řeší v reálné úpravně vody a distribuční síti nad reálnými podklady.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se bude během praktického předvedení současně ústně ověřovat to,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