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2AA11" Type="http://schemas.openxmlformats.org/officeDocument/2006/relationships/officeDocument" Target="/word/document.xml" /><Relationship Id="coreR75C2AA11" Type="http://schemas.openxmlformats.org/package/2006/relationships/metadata/core-properties" Target="/docProps/core.xml" /><Relationship Id="customR75C2AA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ohýbaného nábytku a dílců z vrstveného dřeva (kód: 33-067-H)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k výrobě ohýbaného vrstveného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lisování vrstveného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výrobu vrstveného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Lisování vrstveného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28.9.2026 11:34:49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https://www.nsp.cz/jednotka-prace/pracovnik-vyroby-dyh-prek#zdravotni-zpusobilost).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zadání pro jeden nábytkový dílec z ohýbaného vrstveného dřeva s použitím sesazenky, který bude uchazeč při zkoušce vyrábět.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ověrovaných kritérií se autorizovaná osoba zaměří zejména na přípravu, kontrolu a případnou opravu materiálu, seřízení a nastavení nanášecího a lisovacího zařízení, výběr lepidla a vlastní lisování výrobku s přihlédnutím na jeho funkčnost, užitnou hodnotu a ekonomičnost výroby.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výrobku i k časovému hledisku zvládání operací.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pracovní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28.9.2026 11:34:49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Hranice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ohýbaného nábytku a dílců z vrstveného dřeva, 28.9.2026 11:34:49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