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1CDDD" Type="http://schemas.openxmlformats.org/officeDocument/2006/relationships/officeDocument" Target="/word/document.xml" /><Relationship Id="coreR1811CDDD" Type="http://schemas.openxmlformats.org/package/2006/relationships/metadata/core-properties" Target="/docProps/core.xml" /><Relationship Id="customR1811CD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ohýbaného nábytku a dílců z vrstveného dřeva, 28.9.2026 13:55:47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28.9.2026 13:55:47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28.9.2026 13:55:47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a dílců z vrstveného dřeva, 28.9.2026 13:55:47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 výroby ohýbaného nábytku a dílců z vrstveného dřeva + střední vzdělání s maturitní zkouškou a alespoň 5 let odborné praxe v oblasti nábytkářské výroby zaměřené na ohýbaný nábytek.</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a dílců z vrstveného dřeva, 28.9.2026 13:55:47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a dílců z vrstveného dřeva, 28.9.2026 13:55:47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výroby ohýbaného nábytku a dílců z vrstveného dřeva, 28.9.2026 13:55:47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B2C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740E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BDA9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AE57BE"/>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AE942C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