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5B726" Type="http://schemas.openxmlformats.org/officeDocument/2006/relationships/officeDocument" Target="/word/document.xml" /><Relationship Id="coreR59D5B726" Type="http://schemas.openxmlformats.org/package/2006/relationships/metadata/core-properties" Target="/docProps/core.xml" /><Relationship Id="customR59D5B7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textilní výroby, 18.10.2026 17:19:18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Operátor/operátorka textilní výroby, 18.10.2026 17:19:18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18.10.2026 17:19:18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18.10.2026 17:19:18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Operátor/operátorka textilní výroby, 18.10.2026 17:19:18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textilní výroby, 18.10.2026 17:19:18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Operátor/operátorka textilní výroby a střední vzdělání s maturitní zkouškou a alespoň 5 let odborné praxe v oblasti řízení výrobního úseku textilní výroby nebo v oblasti textilní výroby.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Operátor/operátorka textilní výroby, 18.10.2026 17:19:18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Operátor/operátorka textilní výroby, 18.10.2026 17:19:19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Operátor/operátorka textilní výroby, 18.10.2026 17:19:19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AE7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5D25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