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A2B6CC" Type="http://schemas.openxmlformats.org/officeDocument/2006/relationships/officeDocument" Target="/word/document.xml" /><Relationship Id="coreR60A2B6CC" Type="http://schemas.openxmlformats.org/package/2006/relationships/metadata/core-properties" Target="/docProps/core.xml" /><Relationship Id="customR60A2B6C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recyklaci vozidel s ukončenou životností (autovraků) (kód: 28-071-H)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předpisech, standardech a normách k nakládání s odpady a druhotnými surovinami z autovraků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zpracování autovraků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zpracování autovraků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zpracování autovraků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Demontáž autovraků podle stanoveného postupu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Třídění odpadů a druhotných surovin z autovraků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 částí výrobků, druhotných surovin a odpadů z recyklace autovraků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částí autovraků, druhotných surovin a odpadů ze zpracování autovraků k přepravě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 vozidel s ukončenou životností (autovraků),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 stránky, seznamy zákonů a vyhlášek, katalogy, firemní materiály apod.).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k dotčeným kritériím nejméně po jednom příkladu úlohy, které umožní ověřit příslušná kritéria.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se posuzuje schopnost uchazeče využívat předpisy, návody a dokumenty v reálných podmínkách, a to z hlediska jejich účelu, bezpečnosti práce, požadované kvality druhotných surovin. Vzhledem ke specifické problematice autovraků - vozidel s ukončenou životností ovlivňované směrnicí EU 2000/53/EC je nutno při zkouškách věnovat této problematice zvýšenou pozornost ze strany zkoušejících, především po stránce vybavenosti pracoviště, na kterém bude probíhat praktická část zkoušek.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technologické, manipulační, logistické a ochranné prostředky bude uchazeč při praktickém ověření vybírat z předložených katalogů. Zkoušející také podle aktuálních místních podmínek může zpřesnit oborový obsah části zkoušky na vybrané (určené) druhy odpadů a druhotných surovin.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(provozní řád, interní normy pro třídění vypracované podle smluv se zákazníkem, vzorky materiálů a odpadů, technologické údaje o zařízení, specifikace k odpadům, údaje z průběžné evidence) dostane uchazeč podle rozhodnutí zkoušejícího k dispozici v době přípravy na zkoušku. Obecné povinnosti vyplývající z bezpečnostních a požárních předpisů musí uchazeč znát.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kvalitě provedení operací uchazečem. Při ověřování kritérií hodnocení založených na teoretických znalostech se vychází z interních pokynů, zpracovaných organizací podle zákonů, vyhlášek a prováděcích předpisů.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dvě až tři modelové situace a vzorové dokumenty pro praktické a písemné ověřování.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 vozidel s ukončenou životností (autovraků),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 pro autovraky 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zpracovatelů autovraků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Autosport,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VOŠ-SOU Kopřivnice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recyklaci vozidel s ukončenou životností (autovraků), 11.9.2026 22:06:06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