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7DA1C" Type="http://schemas.openxmlformats.org/officeDocument/2006/relationships/officeDocument" Target="/word/document.xml" /><Relationship Id="coreR3557DA1C" Type="http://schemas.openxmlformats.org/package/2006/relationships/metadata/core-properties" Target="/docProps/core.xml" /><Relationship Id="customR3557DA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elekroodpadů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ke specifickým obsahům zvláště nebezpečných odpadů v některých elektroodpadech (rtuť, kadmium, polybromované bifenyly, chlorofluorovodíky, HCFC, HFC, azbest a další – viz zvláštní předpisy) je nutno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elektroodpady 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Steelmet,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elektroodpadu,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