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67F48" Type="http://schemas.openxmlformats.org/officeDocument/2006/relationships/officeDocument" Target="/word/document.xml" /><Relationship Id="coreRE167F48" Type="http://schemas.openxmlformats.org/package/2006/relationships/metadata/core-properties" Target="/docProps/core.xml" /><Relationship Id="customRE167F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Technik technolog pro plastikářskou a gumárenskou výrobu obuvi 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plastikářské a gumárenské výrobě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plastikářskou a gumárenskou výrobu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surovin a materiálů pro plastikářskou a gumárenskou výrobu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c);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plastikářskou a gumárenskou výrobu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plastikářské a gumárenské výrobě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surovin, materiálů, polotovarů a výrobků pro plastikářskou a gumárenskou výrobu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c); typ laboratoře (externí, podnikovou), ke které se budou vztahovat zadané úkoly podle zaměření konkrétní plastikářské a gumárenské výroby (obuvnická výroba) a místa konání zkoušky; u kritéria b) určí autorizovaná osoba konkrétní kvalitativní zkoušku.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surovin, materiálů, polotovarů a výrobků v plastikářské a gumárenské výrobě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kompetencí: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plastikářskou a gumárenskou výrobu obuvi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 řešení technologických problémů v plastikářské a gumárenské výrobě obuvi,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úkolů, ke komplexnímu přístupu k řešení daného úkolu, k celkové kvalitě provedení. Při ústním projevu je třeba sledovat používání odborné terminologie, využívání teoretických znalostí pro řešení úkolů a používání jednoznačných formulací.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