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2625F" Type="http://schemas.openxmlformats.org/officeDocument/2006/relationships/officeDocument" Target="/word/document.xml" /><Relationship Id="coreR4752625F" Type="http://schemas.openxmlformats.org/package/2006/relationships/metadata/core-properties" Target="/docProps/core.xml" /><Relationship Id="customR47526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chmele a jeho nároky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20.10.2026 12:05:25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podniku. Podklady pro ověření kompetencí budou brány z konkrétního podniku.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„Charakteristika chmele a jeho nároky na klimatické a půdní podmínky“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„Organizace výživy a hnojení s ohledem na stanoviště a průběh vegetace“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„Diagnostika škodlivých organismů chmele a ošetření proti nim“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Metodická příručka integrované ochrany rostlin a Registr přípravků na ochranu rostlin.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„Vedení prvotní evidence v zemědělském podniku“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 průběhu zkoušky používat počítač s přístupem k internetu.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20.10.2026 12:05:25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Statek Měcholupy,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20.10.2026 12:05:25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