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4D494" Type="http://schemas.openxmlformats.org/officeDocument/2006/relationships/officeDocument" Target="/word/document.xml" /><Relationship Id="coreR5834D494" Type="http://schemas.openxmlformats.org/package/2006/relationships/metadata/core-properties" Target="/docProps/core.xml" /><Relationship Id="customR5834D4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/ technička konstruktérka a modelářka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21.9.2026 6:56:13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jeden proces (v logické návaznosti jednotlivých činností) – uchazeči je zadáno zhotovit a vystupňovat střih (základní střih v kalkulační velikosti, podle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minimálně 3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hodnocení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21.9.2026 6:56:13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21.9.2026 6:56:13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