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9AE090" Type="http://schemas.openxmlformats.org/officeDocument/2006/relationships/officeDocument" Target="/word/document.xml" /><Relationship Id="coreR5A9AE090" Type="http://schemas.openxmlformats.org/package/2006/relationships/metadata/core-properties" Target="/docProps/core.xml" /><Relationship Id="customR5A9AE0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 / 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módních trendech odívání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nových modelů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výpočtů pro konstrukci nových oděvních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konstrukčních řešení nových oděvních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Spolupráce při realizaci návrhů při tvorbě modelů oděvních výrobků a ve výrobě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Prezentace kolekce oděvních návrhů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vytvářet realizovatelné návrhy oděvních výrobků.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odborné kompetence sestaveny v jeden proces (v logické návaznosti jednotlivých činností) – uchazeči je zadáno navrhnout nový model pro konkrétní druh oděvu (uchazeč si druh oděvu losuje ze tří možností: podšívkovaný rukávový oděv, nohavicový oděv, šaty), pro konkrétní materiál a podle konkrétních kritérií pro provedení (materiál předloží a kritéria zadá podle odborné kompetence „Navrhování nových modelů“ autorizovaná osoba), tzn. nakreslit ve třech různých variantách skicu návrhu na postavě, dále pro jednu variantu vyhotovit technický nákres a technický popis, pro jednu variantu navrhnout konstrukční řešení a velikostní sortiment, navrhnout alternativní materiály (jejich barvy, vzory, výztužné materiály, drobnou přípravu) a zpracovat podklady pro tvorbu spotřebních norem jako činnost návrháře v přípravě výroby při průmyslovém zhotovování oděvů.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v návaznosti na ověřované kompetence, nabídne druhy výrobků k losování (3 lístky s textem: podšívkovaný rukávový oděv, nohavicový oděv, šaty) a zpracuje různé varianty kritérií pro provedení (dámský/pánský oděv, typ postavy, věková kategorie, možnosti využití výrobních strojů a zařízení).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zpracuje přehled doporučené literatury a umožní uchazeči se s ním seznámit v předstihu (minimálně 1 měsíc) před zkouškou. O formě seznámení uchazeče se systémy CAD (které jsou k dispozici) a s přehledem doporučené literatury rozhoduje autorizovaná osoba.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výsledek návrhové činnosti, tak na způsob předvedení činnosti. Praktické předvedení spočívá ve skutečném provedení reálné činnosti nebo simulaci ústní komunikace, v písemném či grafickém záznamu, čtení konkrétní technologické dokumentace apod.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způsobem ověření „Praktické předvedení“ je třeba se zaměřit na kreativitu, invenci, celkový přehled, proveditelnost návrhu, správnost vypracování konstrukční dokumentace a vhodnost zpracování a výběru materiálů.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hodnocení c) odborné kompetence „Orientace v módních trendech odívání“ bude uchazeči předloženo 6 ukázek historických oděvů, uchazeč splní kritérium, pokud správně přiřadí historické období minimálně u 4 ukázek. Při ověřování odborné kompetence „Navrhování konstrukčních řešení nových oděvních modelů“ si uchazeč zvolí, zda bude úkoly vyplývající z kritérií hodnocení a) – d) provádět ručně nebo na PC.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