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00A05" Type="http://schemas.openxmlformats.org/officeDocument/2006/relationships/officeDocument" Target="/word/document.xml" /><Relationship Id="coreR33800A05" Type="http://schemas.openxmlformats.org/package/2006/relationships/metadata/core-properties" Target="/docProps/core.xml" /><Relationship Id="customR33800A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http://katalog.nsp.cz/karta_p.aspx?id_jp=6171&amp;kod_sm1=29).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v jednotlivých jejich typech je velmi diverzifikovaná a specializovaná podle firem, a pro jejich výrobu jsou používány unikátní speciální stroje, linky a zařízení. Autorizovaná osoba má k dispozici materiály (suroviny a polotovary) a stroje, linky a zařízení, které odpovídají výrobnímu programu konkrétní firmy.Uchazeči bude zadáno vykonat práce ve výrobě technických textilií dle hodnoticího standardu a dle výrobního programu textilní firmy.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 nebo některé úkony operací vykonává paralelně nebo ve spolupráci s řádnou obsluhou strojů a zařízení.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činnosti náležející k odborné způsobilosti, zkoušející bude sledovat plnění úkolu. Zkoušející bude sledovat uchazeče v průběhu plnění zadaného úkolu také z hlediska dodržování zásad bezpečnosti a ochrany zdraví při práci, tj. jak se pohybuje v provozu výroby technických textilií. Konkrétní postupy zkoušení pro každou odbornou kompetenci budou vycházet z charakteru výroby a provozních podmínek, ve kterých bude probíhat zkoušení.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vyráběného výrobku. 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28.9.2026 13:49:35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