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8AEBD" Type="http://schemas.openxmlformats.org/officeDocument/2006/relationships/officeDocument" Target="/word/document.xml" /><Relationship Id="coreR6E18AEBD" Type="http://schemas.openxmlformats.org/package/2006/relationships/metadata/core-properties" Target="/docProps/core.xml" /><Relationship Id="customR6E18AE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14:42:50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http://katalog.nsp.cz/karta_p.aspx?id_jp=6171&amp;kod_sm1=29).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v jednotlivých jejich typech je velmi diverzifikovaná a specializovaná podle firem, a pro jejich výrobu jsou používány unikátní speciální stroje, linky a zařízení. Autorizovaná osoba má k dispozici materiály (suroviny a polotovary) a stroje, linky a zařízení, které odpovídají výrobnímu programu konkrétní firmy.Uchazeči bude zadáno vykonat práce ve výrobě technických textilií dle hodnoticího standardu a dle výrobního programu textilní firmy.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 nebo některé úkony operací vykonává paralelně nebo ve spolupráci s řádnou obsluhou strojů a zařízení.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činnosti náležející k odborné způsobilosti, zkoušející bude sledovat plnění úkolu. Zkoušející bude sledovat uchazeče v průběhu plnění zadaného úkolu také z hlediska dodržování zásad bezpečnosti a ochrany zdraví při práci, tj. jak se pohybuje v provozu výroby technických textilií. Konkrétní postupy zkoušení pro každou odbornou kompetenci budou vycházet z charakteru výroby a provozních podmínek, ve kterých bude probíhat zkoušení.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vyráběného výrobku. 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14:42:50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14:42:50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