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392F4" Type="http://schemas.openxmlformats.org/officeDocument/2006/relationships/officeDocument" Target="/word/document.xml" /><Relationship Id="coreR49D392F4" Type="http://schemas.openxmlformats.org/package/2006/relationships/metadata/core-properties" Target="/docProps/core.xml" /><Relationship Id="customR49D39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obuvnické výrobě 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na spodkové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https://nsp.cz/jednotka-prace/delnik-v-obuvnicke-vyrobe#zdravotni-zpusobilost).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Vysekávání obuvnických dílců vysekávacím strojem, kritéria c) a d), zadá autorizovaná osoba pro ověření kritérií minimálně 10 a maximálně 20 vzorků podšívkových dílců z usňového materiálu a minimálně 10 a maximálně 20 vzorků podšívkových dílců ze syntetického materiálu, a to podle zaměření konkrétní kožedělné výroby (obuvnická výroba) a místa konání zkoušky. Při ověřování odborné kompetence Úprava vzhledu obuvi, kritérium a), zadá autorizovaná osoba pro ověření kritéria minimálně 1 a maximálně 3 vzorky usňové obuvi, a to podle zaměření konkrétní kožedělné výroby (obuvnická výroba) a místa konání zkoušky.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obuvnické dílně, u konkrétních pracovních operací a strojů.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 a využívání teoretických znalostí při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