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4F2BE2" Type="http://schemas.openxmlformats.org/officeDocument/2006/relationships/officeDocument" Target="/word/document.xml" /><Relationship Id="coreR664F2BE2" Type="http://schemas.openxmlformats.org/package/2006/relationships/metadata/core-properties" Target="/docProps/core.xml" /><Relationship Id="customR664F2B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designér a modelář (kód: 32-029-R)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a vzory galanterních výrobků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galanterních výrobků a obuvi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galanterních výrobků a obuvi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vzorů méně náročných galanterních výrobků a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a rozvádění šablon pro výrobu obuvnických a galanterních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kožedělných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kvalifikaci je ukončené střední vzdělání s maturitní zkouškou.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obuvnické nebo kožedělné výroby.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Orientace v normách a technických podkladech v kožedělné výrobě, kritérium d), a Konstrukce vzorů méně náročných galanterních výrobků a obuvi, kritérium a), určí autorizovaná osoba druh výrobku, ke kterému se budou vztahovat zadané úkoly podle zaměření konkrétní kožedělné výroby a místa konání zkoušky. U odborné kompetence Navrhování modelů a vzorů galanterních výrobků a obuvi podle typizovaných postupů, kritérium a), zadá autorizovaná osoba počet vzorků materiálů podle zaměření konkrétní kožedělné výroby a místa konání zkoušky. Autorizovaná osoba určí u kompetence Konstrukce vzorů méně náročných galanterních výrobků a obuvi, kritérium c), vhodné materiály pro výrobu obuvi a galanterního výrobku.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u kompetence Navrhování modelů a vzorů galanterních výrobků a obuvi podle požadavků zákazníka, kritérium a).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postupům, k dodržování časového limitu a k samostatnosti při řešení jednotlivých kritérií. Při ústním projevu je třeba sledovat používání odborné terminologie a využívání odborných znalostí. Ověřování kompetencí bude probíhat v reálném procesu obuvnické nebo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