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D75D4" Type="http://schemas.openxmlformats.org/officeDocument/2006/relationships/officeDocument" Target="/word/document.xml" /><Relationship Id="coreR84D75D4" Type="http://schemas.openxmlformats.org/package/2006/relationships/metadata/core-properties" Target="/docProps/core.xml" /><Relationship Id="customR84D75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koželužské výrobě 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Volba postupu práce, materiálů a pomůcek v koželužské výrobě, kritérium d), zadá autorizovaná osoba pro ověření kritéria minimálně 2 a maximálně 5 vzorků od každého materiálu, a to podle zaměření konkrétní koželužské výroby a místa konání zkoušky.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Výroba a opracování holiny v koželužské výrobě, kritérium c), určí autorizovaná osoba konkrétní pracovní operaci, kterou bude uchazeč vykonávat.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Úprava a zpracování usní a kožešin po činění, určí autorizovaná osoba, zda bude ověřování kompetence prováděno v technologickém procesu výroby kožešin nebo při zpracování usní. Dále při ověřování odborné kompetence Úprava a zpracování usní a kožešin po činění, kritérium b), zadá autorizovaná osoba pro ověření kritéria minimálně 2 a maximálně 5 vzorků od každého materiálu, a to podle zaměření konkrétní koželužské výroby a místa konání zkoušky. 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